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rFonts w:eastAsia="Times New Roman"/>
          <w:sz w:val="28"/>
          <w:szCs w:val="28"/>
          <w:lang w:eastAsia="ru-RU"/>
        </w:rPr>
        <w:id w:val="653628694"/>
        <w:docPartObj>
          <w:docPartGallery w:val="Cover Pages"/>
          <w:docPartUnique/>
        </w:docPartObj>
      </w:sdtPr>
      <w:sdtEndPr/>
      <w:sdtContent>
        <w:p w:rsidR="008E239A" w:rsidRDefault="00D61E62">
          <w:pPr>
            <w:pStyle w:val="aff6"/>
          </w:pPr>
          <w:r>
            <w:rPr>
              <w:noProof/>
              <w:lang w:eastAsia="ru-RU"/>
            </w:rPr>
            <mc:AlternateContent>
              <mc:Choice Requires="wpg">
                <w:drawing>
                  <wp:anchor distT="0" distB="0" distL="0" distR="0" simplePos="0" relativeHeight="32" behindDoc="1" locked="0" layoutInCell="0" allowOverlap="1">
                    <wp:simplePos x="0" y="0"/>
                    <wp:positionH relativeFrom="page">
                      <wp:posOffset>302260</wp:posOffset>
                    </wp:positionH>
                    <wp:positionV relativeFrom="page">
                      <wp:align>center</wp:align>
                    </wp:positionV>
                    <wp:extent cx="2242185" cy="9173210"/>
                    <wp:effectExtent l="0" t="0" r="6985" b="7620"/>
                    <wp:wrapNone/>
                    <wp:docPr id="1" name="Группа 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241720" cy="9172440"/>
                              <a:chOff x="0" y="0"/>
                              <a:chExt cx="0" cy="0"/>
                            </a:xfrm>
                          </wpg:grpSpPr>
                          <wps:wsp>
                            <wps:cNvPr id="2" name="Прямоугольник 2"/>
                            <wps:cNvSpPr/>
                            <wps:spPr>
                              <a:xfrm>
                                <a:off x="0" y="0"/>
                                <a:ext cx="146520" cy="91724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/>
                            </wps:style>
                            <wps:bodyPr/>
                          </wps:wsp>
                          <wps:wsp>
                            <wps:cNvPr id="3" name="Пятиугольник 3"/>
                            <wps:cNvSpPr/>
                            <wps:spPr>
                              <a:xfrm>
                                <a:off x="0" y="1467000"/>
                                <a:ext cx="2241720" cy="504360"/>
                              </a:xfrm>
                              <a:prstGeom prst="homePlat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A5B59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/>
                            </wps:style>
                            <wps:txbx>
                              <w:txbxContent>
                                <w:p w:rsidR="008E239A" w:rsidRDefault="00D61E62">
                                  <w:pPr>
                                    <w:overflowPunct w:val="0"/>
                                    <w:jc w:val="right"/>
                                  </w:pPr>
                                  <w:r>
                                    <w:rPr>
                                      <w:rFonts w:ascii="Calibri" w:eastAsia="Calibri" w:hAnsi="Calibri"/>
                                      <w:color w:val="9EB060"/>
                                    </w:rPr>
                                    <w:t>2020</w:t>
                                  </w:r>
                                </w:p>
                              </w:txbxContent>
                            </wps:txbx>
                            <wps:bodyPr lIns="90000" tIns="0" rIns="182880" bIns="0" anchor="ctr">
                              <a:noAutofit/>
                            </wps:bodyPr>
                          </wps:wsp>
                          <wpg:grpSp>
                            <wpg:cNvPr id="4" name="Группа 4"/>
                            <wpg:cNvGrpSpPr/>
                            <wpg:grpSpPr>
                              <a:xfrm>
                                <a:off x="76320" y="4257000"/>
                                <a:ext cx="2104920" cy="4910400"/>
                                <a:chOff x="0" y="0"/>
                                <a:chExt cx="0" cy="0"/>
                              </a:xfrm>
                            </wpg:grpSpPr>
                            <wpg:grpSp>
                              <wpg:cNvPr id="5" name="Группа 5"/>
                              <wpg:cNvGrpSpPr/>
                              <wpg:grpSpPr>
                                <a:xfrm>
                                  <a:off x="95040" y="0"/>
                                  <a:ext cx="1697400" cy="4910400"/>
                                  <a:chOff x="0" y="0"/>
                                  <a:chExt cx="0" cy="0"/>
                                </a:xfrm>
                              </wpg:grpSpPr>
                              <wps:wsp>
                                <wps:cNvPr id="6" name="Полилиния 6"/>
                                <wps:cNvSpPr/>
                                <wps:spPr>
                                  <a:xfrm>
                                    <a:off x="360000" y="3202200"/>
                                    <a:ext cx="304200" cy="105156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122" h="440">
                                        <a:moveTo>
                                          <a:pt x="0" y="0"/>
                                        </a:moveTo>
                                        <a:lnTo>
                                          <a:pt x="39" y="152"/>
                                        </a:lnTo>
                                        <a:lnTo>
                                          <a:pt x="84" y="304"/>
                                        </a:lnTo>
                                        <a:lnTo>
                                          <a:pt x="122" y="417"/>
                                        </a:lnTo>
                                        <a:lnTo>
                                          <a:pt x="122" y="440"/>
                                        </a:lnTo>
                                        <a:lnTo>
                                          <a:pt x="76" y="306"/>
                                        </a:lnTo>
                                        <a:lnTo>
                                          <a:pt x="39" y="180"/>
                                        </a:lnTo>
                                        <a:lnTo>
                                          <a:pt x="6" y="5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7" name="Полилиния 7"/>
                                <wps:cNvSpPr/>
                                <wps:spPr>
                                  <a:xfrm>
                                    <a:off x="727920" y="4286160"/>
                                    <a:ext cx="243360" cy="62424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116" h="269">
                                        <a:moveTo>
                                          <a:pt x="0" y="0"/>
                                        </a:moveTo>
                                        <a:lnTo>
                                          <a:pt x="8" y="19"/>
                                        </a:lnTo>
                                        <a:lnTo>
                                          <a:pt x="37" y="93"/>
                                        </a:lnTo>
                                        <a:lnTo>
                                          <a:pt x="67" y="167"/>
                                        </a:lnTo>
                                        <a:lnTo>
                                          <a:pt x="116" y="269"/>
                                        </a:lnTo>
                                        <a:lnTo>
                                          <a:pt x="108" y="269"/>
                                        </a:lnTo>
                                        <a:lnTo>
                                          <a:pt x="60" y="169"/>
                                        </a:lnTo>
                                        <a:lnTo>
                                          <a:pt x="30" y="98"/>
                                        </a:lnTo>
                                        <a:lnTo>
                                          <a:pt x="1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8" name="Полилиния 8"/>
                                <wps:cNvSpPr/>
                                <wps:spPr>
                                  <a:xfrm>
                                    <a:off x="0" y="0"/>
                                    <a:ext cx="302400" cy="317700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140" h="1272">
                                        <a:moveTo>
                                          <a:pt x="0" y="0"/>
                                        </a:moveTo>
                                        <a:lnTo>
                                          <a:pt x="0" y="0"/>
                                        </a:lnTo>
                                        <a:lnTo>
                                          <a:pt x="1" y="79"/>
                                        </a:lnTo>
                                        <a:lnTo>
                                          <a:pt x="3" y="159"/>
                                        </a:lnTo>
                                        <a:lnTo>
                                          <a:pt x="12" y="317"/>
                                        </a:lnTo>
                                        <a:lnTo>
                                          <a:pt x="23" y="476"/>
                                        </a:lnTo>
                                        <a:lnTo>
                                          <a:pt x="39" y="634"/>
                                        </a:lnTo>
                                        <a:lnTo>
                                          <a:pt x="58" y="792"/>
                                        </a:lnTo>
                                        <a:lnTo>
                                          <a:pt x="83" y="948"/>
                                        </a:lnTo>
                                        <a:lnTo>
                                          <a:pt x="107" y="1086"/>
                                        </a:lnTo>
                                        <a:lnTo>
                                          <a:pt x="135" y="1223"/>
                                        </a:lnTo>
                                        <a:lnTo>
                                          <a:pt x="140" y="1272"/>
                                        </a:lnTo>
                                        <a:lnTo>
                                          <a:pt x="138" y="1262"/>
                                        </a:lnTo>
                                        <a:lnTo>
                                          <a:pt x="105" y="1106"/>
                                        </a:lnTo>
                                        <a:lnTo>
                                          <a:pt x="77" y="949"/>
                                        </a:lnTo>
                                        <a:lnTo>
                                          <a:pt x="53" y="792"/>
                                        </a:lnTo>
                                        <a:lnTo>
                                          <a:pt x="35" y="634"/>
                                        </a:lnTo>
                                        <a:lnTo>
                                          <a:pt x="20" y="476"/>
                                        </a:lnTo>
                                        <a:lnTo>
                                          <a:pt x="9" y="317"/>
                                        </a:lnTo>
                                        <a:lnTo>
                                          <a:pt x="2" y="159"/>
                                        </a:lnTo>
                                        <a:lnTo>
                                          <a:pt x="0" y="7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9" name="Полилиния 9"/>
                                <wps:cNvSpPr/>
                                <wps:spPr>
                                  <a:xfrm>
                                    <a:off x="315000" y="1022400"/>
                                    <a:ext cx="111600" cy="213228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45" h="854">
                                        <a:moveTo>
                                          <a:pt x="45" y="0"/>
                                        </a:moveTo>
                                        <a:lnTo>
                                          <a:pt x="45" y="0"/>
                                        </a:lnTo>
                                        <a:lnTo>
                                          <a:pt x="35" y="66"/>
                                        </a:lnTo>
                                        <a:lnTo>
                                          <a:pt x="26" y="133"/>
                                        </a:lnTo>
                                        <a:lnTo>
                                          <a:pt x="14" y="267"/>
                                        </a:lnTo>
                                        <a:lnTo>
                                          <a:pt x="6" y="401"/>
                                        </a:lnTo>
                                        <a:lnTo>
                                          <a:pt x="3" y="534"/>
                                        </a:lnTo>
                                        <a:lnTo>
                                          <a:pt x="6" y="669"/>
                                        </a:lnTo>
                                        <a:lnTo>
                                          <a:pt x="14" y="803"/>
                                        </a:lnTo>
                                        <a:lnTo>
                                          <a:pt x="18" y="854"/>
                                        </a:lnTo>
                                        <a:lnTo>
                                          <a:pt x="18" y="851"/>
                                        </a:lnTo>
                                        <a:lnTo>
                                          <a:pt x="9" y="814"/>
                                        </a:lnTo>
                                        <a:lnTo>
                                          <a:pt x="8" y="803"/>
                                        </a:lnTo>
                                        <a:lnTo>
                                          <a:pt x="1" y="669"/>
                                        </a:lnTo>
                                        <a:lnTo>
                                          <a:pt x="0" y="534"/>
                                        </a:lnTo>
                                        <a:lnTo>
                                          <a:pt x="3" y="401"/>
                                        </a:lnTo>
                                        <a:lnTo>
                                          <a:pt x="12" y="267"/>
                                        </a:lnTo>
                                        <a:lnTo>
                                          <a:pt x="25" y="132"/>
                                        </a:lnTo>
                                        <a:lnTo>
                                          <a:pt x="34" y="66"/>
                                        </a:lnTo>
                                        <a:lnTo>
                                          <a:pt x="45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10" name="Полилиния 10"/>
                                <wps:cNvSpPr/>
                                <wps:spPr>
                                  <a:xfrm>
                                    <a:off x="349920" y="3224520"/>
                                    <a:ext cx="384120" cy="152352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154" h="629">
                                        <a:moveTo>
                                          <a:pt x="0" y="0"/>
                                        </a:moveTo>
                                        <a:lnTo>
                                          <a:pt x="10" y="44"/>
                                        </a:lnTo>
                                        <a:lnTo>
                                          <a:pt x="21" y="126"/>
                                        </a:lnTo>
                                        <a:lnTo>
                                          <a:pt x="34" y="207"/>
                                        </a:lnTo>
                                        <a:lnTo>
                                          <a:pt x="53" y="293"/>
                                        </a:lnTo>
                                        <a:lnTo>
                                          <a:pt x="75" y="380"/>
                                        </a:lnTo>
                                        <a:lnTo>
                                          <a:pt x="100" y="466"/>
                                        </a:lnTo>
                                        <a:lnTo>
                                          <a:pt x="120" y="521"/>
                                        </a:lnTo>
                                        <a:lnTo>
                                          <a:pt x="141" y="576"/>
                                        </a:lnTo>
                                        <a:lnTo>
                                          <a:pt x="152" y="618"/>
                                        </a:lnTo>
                                        <a:lnTo>
                                          <a:pt x="154" y="629"/>
                                        </a:lnTo>
                                        <a:lnTo>
                                          <a:pt x="140" y="595"/>
                                        </a:lnTo>
                                        <a:lnTo>
                                          <a:pt x="115" y="532"/>
                                        </a:lnTo>
                                        <a:lnTo>
                                          <a:pt x="93" y="468"/>
                                        </a:lnTo>
                                        <a:lnTo>
                                          <a:pt x="67" y="383"/>
                                        </a:lnTo>
                                        <a:lnTo>
                                          <a:pt x="47" y="295"/>
                                        </a:lnTo>
                                        <a:lnTo>
                                          <a:pt x="28" y="207"/>
                                        </a:lnTo>
                                        <a:lnTo>
                                          <a:pt x="12" y="10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11" name="Полилиния 11"/>
                                <wps:cNvSpPr/>
                                <wps:spPr>
                                  <a:xfrm>
                                    <a:off x="802800" y="4785480"/>
                                    <a:ext cx="34920" cy="12456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33" h="69">
                                        <a:moveTo>
                                          <a:pt x="0" y="0"/>
                                        </a:moveTo>
                                        <a:lnTo>
                                          <a:pt x="33" y="69"/>
                                        </a:lnTo>
                                        <a:lnTo>
                                          <a:pt x="24" y="69"/>
                                        </a:lnTo>
                                        <a:lnTo>
                                          <a:pt x="12" y="3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12" name="Полилиния 12"/>
                                <wps:cNvSpPr/>
                                <wps:spPr>
                                  <a:xfrm>
                                    <a:off x="338040" y="3102120"/>
                                    <a:ext cx="720" cy="18468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15" h="93">
                                        <a:moveTo>
                                          <a:pt x="0" y="0"/>
                                        </a:moveTo>
                                        <a:lnTo>
                                          <a:pt x="9" y="37"/>
                                        </a:lnTo>
                                        <a:lnTo>
                                          <a:pt x="9" y="40"/>
                                        </a:lnTo>
                                        <a:lnTo>
                                          <a:pt x="15" y="93"/>
                                        </a:lnTo>
                                        <a:lnTo>
                                          <a:pt x="5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13" name="Полилиния 13"/>
                                <wps:cNvSpPr/>
                                <wps:spPr>
                                  <a:xfrm>
                                    <a:off x="712440" y="2325960"/>
                                    <a:ext cx="984960" cy="191268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394" h="766">
                                        <a:moveTo>
                                          <a:pt x="394" y="0"/>
                                        </a:moveTo>
                                        <a:lnTo>
                                          <a:pt x="394" y="0"/>
                                        </a:lnTo>
                                        <a:lnTo>
                                          <a:pt x="356" y="38"/>
                                        </a:lnTo>
                                        <a:lnTo>
                                          <a:pt x="319" y="77"/>
                                        </a:lnTo>
                                        <a:lnTo>
                                          <a:pt x="284" y="117"/>
                                        </a:lnTo>
                                        <a:lnTo>
                                          <a:pt x="249" y="160"/>
                                        </a:lnTo>
                                        <a:lnTo>
                                          <a:pt x="207" y="218"/>
                                        </a:lnTo>
                                        <a:lnTo>
                                          <a:pt x="168" y="276"/>
                                        </a:lnTo>
                                        <a:lnTo>
                                          <a:pt x="131" y="339"/>
                                        </a:lnTo>
                                        <a:lnTo>
                                          <a:pt x="98" y="402"/>
                                        </a:lnTo>
                                        <a:lnTo>
                                          <a:pt x="69" y="467"/>
                                        </a:lnTo>
                                        <a:lnTo>
                                          <a:pt x="45" y="535"/>
                                        </a:lnTo>
                                        <a:lnTo>
                                          <a:pt x="26" y="604"/>
                                        </a:lnTo>
                                        <a:lnTo>
                                          <a:pt x="14" y="673"/>
                                        </a:lnTo>
                                        <a:lnTo>
                                          <a:pt x="7" y="746"/>
                                        </a:lnTo>
                                        <a:lnTo>
                                          <a:pt x="6" y="766"/>
                                        </a:lnTo>
                                        <a:lnTo>
                                          <a:pt x="0" y="749"/>
                                        </a:lnTo>
                                        <a:lnTo>
                                          <a:pt x="1" y="744"/>
                                        </a:lnTo>
                                        <a:lnTo>
                                          <a:pt x="7" y="673"/>
                                        </a:lnTo>
                                        <a:lnTo>
                                          <a:pt x="21" y="603"/>
                                        </a:lnTo>
                                        <a:lnTo>
                                          <a:pt x="40" y="533"/>
                                        </a:lnTo>
                                        <a:lnTo>
                                          <a:pt x="65" y="466"/>
                                        </a:lnTo>
                                        <a:lnTo>
                                          <a:pt x="94" y="400"/>
                                        </a:lnTo>
                                        <a:lnTo>
                                          <a:pt x="127" y="336"/>
                                        </a:lnTo>
                                        <a:lnTo>
                                          <a:pt x="164" y="275"/>
                                        </a:lnTo>
                                        <a:lnTo>
                                          <a:pt x="204" y="215"/>
                                        </a:lnTo>
                                        <a:lnTo>
                                          <a:pt x="248" y="158"/>
                                        </a:lnTo>
                                        <a:lnTo>
                                          <a:pt x="282" y="116"/>
                                        </a:lnTo>
                                        <a:lnTo>
                                          <a:pt x="318" y="76"/>
                                        </a:lnTo>
                                        <a:lnTo>
                                          <a:pt x="354" y="37"/>
                                        </a:lnTo>
                                        <a:lnTo>
                                          <a:pt x="394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14" name="Полилиния 14"/>
                                <wps:cNvSpPr/>
                                <wps:spPr>
                                  <a:xfrm>
                                    <a:off x="712440" y="4300920"/>
                                    <a:ext cx="42480" cy="43704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36" h="194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7" y="19"/>
                                        </a:lnTo>
                                        <a:lnTo>
                                          <a:pt x="11" y="80"/>
                                        </a:lnTo>
                                        <a:lnTo>
                                          <a:pt x="20" y="132"/>
                                        </a:lnTo>
                                        <a:lnTo>
                                          <a:pt x="33" y="185"/>
                                        </a:lnTo>
                                        <a:lnTo>
                                          <a:pt x="36" y="194"/>
                                        </a:lnTo>
                                        <a:lnTo>
                                          <a:pt x="21" y="161"/>
                                        </a:lnTo>
                                        <a:lnTo>
                                          <a:pt x="15" y="145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15" name="Полилиния 15"/>
                                <wps:cNvSpPr/>
                                <wps:spPr>
                                  <a:xfrm>
                                    <a:off x="783000" y="4795560"/>
                                    <a:ext cx="29880" cy="11484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31" h="65">
                                        <a:moveTo>
                                          <a:pt x="0" y="0"/>
                                        </a:moveTo>
                                        <a:lnTo>
                                          <a:pt x="31" y="65"/>
                                        </a:lnTo>
                                        <a:lnTo>
                                          <a:pt x="23" y="6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16" name="Полилиния 16"/>
                                <wps:cNvSpPr/>
                                <wps:spPr>
                                  <a:xfrm>
                                    <a:off x="712440" y="4243680"/>
                                    <a:ext cx="720" cy="5724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7" h="42">
                                        <a:moveTo>
                                          <a:pt x="0" y="0"/>
                                        </a:moveTo>
                                        <a:lnTo>
                                          <a:pt x="6" y="17"/>
                                        </a:lnTo>
                                        <a:lnTo>
                                          <a:pt x="7" y="42"/>
                                        </a:lnTo>
                                        <a:lnTo>
                                          <a:pt x="6" y="39"/>
                                        </a:lnTo>
                                        <a:lnTo>
                                          <a:pt x="0" y="2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17" name="Полилиния 17"/>
                                <wps:cNvSpPr/>
                                <wps:spPr>
                                  <a:xfrm>
                                    <a:off x="750600" y="4663440"/>
                                    <a:ext cx="64800" cy="24696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45" h="118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21" y="49"/>
                                        </a:lnTo>
                                        <a:lnTo>
                                          <a:pt x="33" y="84"/>
                                        </a:lnTo>
                                        <a:lnTo>
                                          <a:pt x="45" y="118"/>
                                        </a:lnTo>
                                        <a:lnTo>
                                          <a:pt x="44" y="118"/>
                                        </a:lnTo>
                                        <a:lnTo>
                                          <a:pt x="13" y="53"/>
                                        </a:lnTo>
                                        <a:lnTo>
                                          <a:pt x="11" y="42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</wpg:grpSp>
                            <wpg:grpSp>
                              <wpg:cNvPr id="18" name="Группа 18"/>
                              <wpg:cNvGrpSpPr/>
                              <wpg:grpSpPr>
                                <a:xfrm>
                                  <a:off x="0" y="968400"/>
                                  <a:ext cx="2104920" cy="3942000"/>
                                  <a:chOff x="0" y="0"/>
                                  <a:chExt cx="0" cy="0"/>
                                </a:xfrm>
                              </wpg:grpSpPr>
                              <wps:wsp>
                                <wps:cNvPr id="19" name="Полилиния 19"/>
                                <wps:cNvSpPr/>
                                <wps:spPr>
                                  <a:xfrm>
                                    <a:off x="89280" y="1268280"/>
                                    <a:ext cx="466200" cy="167760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125" h="450">
                                        <a:moveTo>
                                          <a:pt x="0" y="0"/>
                                        </a:moveTo>
                                        <a:lnTo>
                                          <a:pt x="41" y="155"/>
                                        </a:lnTo>
                                        <a:lnTo>
                                          <a:pt x="86" y="309"/>
                                        </a:lnTo>
                                        <a:lnTo>
                                          <a:pt x="125" y="425"/>
                                        </a:lnTo>
                                        <a:lnTo>
                                          <a:pt x="125" y="450"/>
                                        </a:lnTo>
                                        <a:lnTo>
                                          <a:pt x="79" y="311"/>
                                        </a:lnTo>
                                        <a:lnTo>
                                          <a:pt x="41" y="183"/>
                                        </a:lnTo>
                                        <a:lnTo>
                                          <a:pt x="7" y="5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20" name="Полилиния 20"/>
                                <wps:cNvSpPr/>
                                <wps:spPr>
                                  <a:xfrm>
                                    <a:off x="630360" y="2963520"/>
                                    <a:ext cx="393840" cy="97776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118" h="275">
                                        <a:moveTo>
                                          <a:pt x="0" y="0"/>
                                        </a:moveTo>
                                        <a:lnTo>
                                          <a:pt x="8" y="20"/>
                                        </a:lnTo>
                                        <a:lnTo>
                                          <a:pt x="37" y="96"/>
                                        </a:lnTo>
                                        <a:lnTo>
                                          <a:pt x="69" y="170"/>
                                        </a:lnTo>
                                        <a:lnTo>
                                          <a:pt x="118" y="275"/>
                                        </a:lnTo>
                                        <a:lnTo>
                                          <a:pt x="109" y="275"/>
                                        </a:lnTo>
                                        <a:lnTo>
                                          <a:pt x="61" y="174"/>
                                        </a:lnTo>
                                        <a:lnTo>
                                          <a:pt x="30" y="100"/>
                                        </a:lnTo>
                                        <a:lnTo>
                                          <a:pt x="0" y="2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21" name="Полилиния 21"/>
                                <wps:cNvSpPr/>
                                <wps:spPr>
                                  <a:xfrm>
                                    <a:off x="0" y="847080"/>
                                    <a:ext cx="27360" cy="40392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20" h="121">
                                        <a:moveTo>
                                          <a:pt x="0" y="0"/>
                                        </a:moveTo>
                                        <a:lnTo>
                                          <a:pt x="16" y="72"/>
                                        </a:lnTo>
                                        <a:lnTo>
                                          <a:pt x="20" y="121"/>
                                        </a:lnTo>
                                        <a:lnTo>
                                          <a:pt x="18" y="112"/>
                                        </a:lnTo>
                                        <a:lnTo>
                                          <a:pt x="0" y="3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22" name="Полилиния 22"/>
                                <wps:cNvSpPr/>
                                <wps:spPr>
                                  <a:xfrm>
                                    <a:off x="74880" y="1297800"/>
                                    <a:ext cx="589320" cy="239760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158" h="643">
                                        <a:moveTo>
                                          <a:pt x="0" y="0"/>
                                        </a:moveTo>
                                        <a:lnTo>
                                          <a:pt x="11" y="46"/>
                                        </a:lnTo>
                                        <a:lnTo>
                                          <a:pt x="22" y="129"/>
                                        </a:lnTo>
                                        <a:lnTo>
                                          <a:pt x="36" y="211"/>
                                        </a:lnTo>
                                        <a:lnTo>
                                          <a:pt x="55" y="301"/>
                                        </a:lnTo>
                                        <a:lnTo>
                                          <a:pt x="76" y="389"/>
                                        </a:lnTo>
                                        <a:lnTo>
                                          <a:pt x="103" y="476"/>
                                        </a:lnTo>
                                        <a:lnTo>
                                          <a:pt x="123" y="533"/>
                                        </a:lnTo>
                                        <a:lnTo>
                                          <a:pt x="144" y="588"/>
                                        </a:lnTo>
                                        <a:lnTo>
                                          <a:pt x="155" y="632"/>
                                        </a:lnTo>
                                        <a:lnTo>
                                          <a:pt x="158" y="643"/>
                                        </a:lnTo>
                                        <a:lnTo>
                                          <a:pt x="142" y="608"/>
                                        </a:lnTo>
                                        <a:lnTo>
                                          <a:pt x="118" y="544"/>
                                        </a:lnTo>
                                        <a:lnTo>
                                          <a:pt x="95" y="478"/>
                                        </a:lnTo>
                                        <a:lnTo>
                                          <a:pt x="69" y="391"/>
                                        </a:lnTo>
                                        <a:lnTo>
                                          <a:pt x="47" y="302"/>
                                        </a:lnTo>
                                        <a:lnTo>
                                          <a:pt x="29" y="212"/>
                                        </a:lnTo>
                                        <a:lnTo>
                                          <a:pt x="13" y="107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23" name="Полилиния 23"/>
                                <wps:cNvSpPr/>
                                <wps:spPr>
                                  <a:xfrm>
                                    <a:off x="742320" y="3724920"/>
                                    <a:ext cx="75600" cy="21708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33" h="71">
                                        <a:moveTo>
                                          <a:pt x="0" y="0"/>
                                        </a:moveTo>
                                        <a:lnTo>
                                          <a:pt x="33" y="71"/>
                                        </a:lnTo>
                                        <a:lnTo>
                                          <a:pt x="24" y="71"/>
                                        </a:lnTo>
                                        <a:lnTo>
                                          <a:pt x="11" y="3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24" name="Полилиния 24"/>
                                <wps:cNvSpPr/>
                                <wps:spPr>
                                  <a:xfrm>
                                    <a:off x="59400" y="1114920"/>
                                    <a:ext cx="8280" cy="30672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15" h="95">
                                        <a:moveTo>
                                          <a:pt x="0" y="0"/>
                                        </a:moveTo>
                                        <a:lnTo>
                                          <a:pt x="8" y="37"/>
                                        </a:lnTo>
                                        <a:lnTo>
                                          <a:pt x="8" y="41"/>
                                        </a:lnTo>
                                        <a:lnTo>
                                          <a:pt x="15" y="95"/>
                                        </a:lnTo>
                                        <a:lnTo>
                                          <a:pt x="4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25" name="Полилиния 25"/>
                                <wps:cNvSpPr/>
                                <wps:spPr>
                                  <a:xfrm>
                                    <a:off x="603720" y="0"/>
                                    <a:ext cx="1501200" cy="291600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402" h="782">
                                        <a:moveTo>
                                          <a:pt x="402" y="0"/>
                                        </a:moveTo>
                                        <a:lnTo>
                                          <a:pt x="402" y="1"/>
                                        </a:lnTo>
                                        <a:lnTo>
                                          <a:pt x="363" y="39"/>
                                        </a:lnTo>
                                        <a:lnTo>
                                          <a:pt x="325" y="79"/>
                                        </a:lnTo>
                                        <a:lnTo>
                                          <a:pt x="290" y="121"/>
                                        </a:lnTo>
                                        <a:lnTo>
                                          <a:pt x="255" y="164"/>
                                        </a:lnTo>
                                        <a:lnTo>
                                          <a:pt x="211" y="222"/>
                                        </a:lnTo>
                                        <a:lnTo>
                                          <a:pt x="171" y="284"/>
                                        </a:lnTo>
                                        <a:lnTo>
                                          <a:pt x="133" y="346"/>
                                        </a:lnTo>
                                        <a:lnTo>
                                          <a:pt x="100" y="411"/>
                                        </a:lnTo>
                                        <a:lnTo>
                                          <a:pt x="71" y="478"/>
                                        </a:lnTo>
                                        <a:lnTo>
                                          <a:pt x="45" y="546"/>
                                        </a:lnTo>
                                        <a:lnTo>
                                          <a:pt x="27" y="617"/>
                                        </a:lnTo>
                                        <a:lnTo>
                                          <a:pt x="13" y="689"/>
                                        </a:lnTo>
                                        <a:lnTo>
                                          <a:pt x="7" y="761"/>
                                        </a:lnTo>
                                        <a:lnTo>
                                          <a:pt x="7" y="782"/>
                                        </a:lnTo>
                                        <a:lnTo>
                                          <a:pt x="0" y="765"/>
                                        </a:lnTo>
                                        <a:lnTo>
                                          <a:pt x="1" y="761"/>
                                        </a:lnTo>
                                        <a:lnTo>
                                          <a:pt x="7" y="688"/>
                                        </a:lnTo>
                                        <a:lnTo>
                                          <a:pt x="21" y="616"/>
                                        </a:lnTo>
                                        <a:lnTo>
                                          <a:pt x="40" y="545"/>
                                        </a:lnTo>
                                        <a:lnTo>
                                          <a:pt x="66" y="475"/>
                                        </a:lnTo>
                                        <a:lnTo>
                                          <a:pt x="95" y="409"/>
                                        </a:lnTo>
                                        <a:lnTo>
                                          <a:pt x="130" y="343"/>
                                        </a:lnTo>
                                        <a:lnTo>
                                          <a:pt x="167" y="281"/>
                                        </a:lnTo>
                                        <a:lnTo>
                                          <a:pt x="209" y="220"/>
                                        </a:lnTo>
                                        <a:lnTo>
                                          <a:pt x="253" y="163"/>
                                        </a:lnTo>
                                        <a:lnTo>
                                          <a:pt x="287" y="120"/>
                                        </a:lnTo>
                                        <a:lnTo>
                                          <a:pt x="324" y="78"/>
                                        </a:lnTo>
                                        <a:lnTo>
                                          <a:pt x="362" y="38"/>
                                        </a:lnTo>
                                        <a:lnTo>
                                          <a:pt x="402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26" name="Полилиния 26"/>
                                <wps:cNvSpPr/>
                                <wps:spPr>
                                  <a:xfrm>
                                    <a:off x="603720" y="2993400"/>
                                    <a:ext cx="90720" cy="68328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37" h="196">
                                        <a:moveTo>
                                          <a:pt x="0" y="0"/>
                                        </a:moveTo>
                                        <a:lnTo>
                                          <a:pt x="6" y="15"/>
                                        </a:lnTo>
                                        <a:lnTo>
                                          <a:pt x="7" y="18"/>
                                        </a:lnTo>
                                        <a:lnTo>
                                          <a:pt x="12" y="80"/>
                                        </a:lnTo>
                                        <a:lnTo>
                                          <a:pt x="21" y="134"/>
                                        </a:lnTo>
                                        <a:lnTo>
                                          <a:pt x="33" y="188"/>
                                        </a:lnTo>
                                        <a:lnTo>
                                          <a:pt x="37" y="196"/>
                                        </a:lnTo>
                                        <a:lnTo>
                                          <a:pt x="22" y="162"/>
                                        </a:lnTo>
                                        <a:lnTo>
                                          <a:pt x="15" y="146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0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27" name="Полилиния 27"/>
                                <wps:cNvSpPr/>
                                <wps:spPr>
                                  <a:xfrm>
                                    <a:off x="712440" y="3743280"/>
                                    <a:ext cx="68040" cy="19872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31" h="66">
                                        <a:moveTo>
                                          <a:pt x="0" y="0"/>
                                        </a:moveTo>
                                        <a:lnTo>
                                          <a:pt x="31" y="66"/>
                                        </a:lnTo>
                                        <a:lnTo>
                                          <a:pt x="24" y="6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28" name="Полилиния 28"/>
                                <wps:cNvSpPr/>
                                <wps:spPr>
                                  <a:xfrm>
                                    <a:off x="603720" y="2900520"/>
                                    <a:ext cx="720" cy="11304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7" h="43">
                                        <a:moveTo>
                                          <a:pt x="0" y="0"/>
                                        </a:moveTo>
                                        <a:lnTo>
                                          <a:pt x="7" y="17"/>
                                        </a:lnTo>
                                        <a:lnTo>
                                          <a:pt x="7" y="43"/>
                                        </a:lnTo>
                                        <a:lnTo>
                                          <a:pt x="6" y="40"/>
                                        </a:lnTo>
                                        <a:lnTo>
                                          <a:pt x="0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  <wps:wsp>
                                <wps:cNvPr id="29" name="Полилиния 29"/>
                                <wps:cNvSpPr/>
                                <wps:spPr>
                                  <a:xfrm>
                                    <a:off x="660240" y="3538080"/>
                                    <a:ext cx="123840" cy="403920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l" t="t" r="r" b="b"/>
                                    <a:pathLst>
                                      <a:path w="46" h="121">
                                        <a:moveTo>
                                          <a:pt x="0" y="0"/>
                                        </a:moveTo>
                                        <a:lnTo>
                                          <a:pt x="7" y="16"/>
                                        </a:lnTo>
                                        <a:lnTo>
                                          <a:pt x="22" y="50"/>
                                        </a:lnTo>
                                        <a:lnTo>
                                          <a:pt x="33" y="86"/>
                                        </a:lnTo>
                                        <a:lnTo>
                                          <a:pt x="46" y="121"/>
                                        </a:lnTo>
                                        <a:lnTo>
                                          <a:pt x="45" y="121"/>
                                        </a:lnTo>
                                        <a:lnTo>
                                          <a:pt x="14" y="55"/>
                                        </a:lnTo>
                                        <a:lnTo>
                                          <a:pt x="11" y="4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0">
                                    <a:scrgbClr r="0" g="0" b="0"/>
                                  </a:lnRef>
                                  <a:fillRef idx="0">
                                    <a:scrgbClr r="0" g="0" b="0"/>
                                  </a:fillRef>
                                  <a:effectRef idx="0">
                                    <a:scrgbClr r="0" g="0" b="0"/>
                                  </a:effectRef>
                                  <a:fontRef idx="minor"/>
                                </wps:style>
                                <wps:bodyPr/>
                              </wps:wsp>
                            </wpg:grpSp>
                          </wpg:grpSp>
                        </wpg:wgp>
                      </a:graphicData>
                    </a:graphic>
                    <wp14:sizeRelH relativeFrom="page">
                      <wp14:pctWidth>33000</wp14:pctWidth>
                    </wp14:sizeRelH>
                    <wp14:sizeRelV relativeFrom="page">
                      <wp14:pctHeight>95000</wp14:pctHeight>
                    </wp14:sizeRelV>
                  </wp:anchor>
                </w:drawing>
              </mc:Choice>
              <mc:Fallback>
                <w:pict>
                  <v:group id="shape_0" alt="Группа 2" style="position:absolute;margin-left:23.8pt;margin-top:59.8pt;width:176.5pt;height:722.25pt" coordorigin="476,1196" coordsize="3530,14445">
                    <v:rect id="shape_0" fillcolor="#444d26" stroked="f" style="position:absolute;left:476;top:1196;width:230;height:14444;mso-wrap-style:none;v-text-anchor:middle;mso-position-horizontal-relative:page;mso-position-vertical:center;mso-position-vertical-relative:page">
                      <v:fill o:detectmouseclick="t" type="solid" color2="#bbb2d9"/>
                      <v:stroke color="#3465a4" weight="25560" joinstyle="round" endcap="flat"/>
                      <w10:wrap type="none"/>
                    </v:rect>
                    <v:shapetype id="shapetype_15" coordsize="21600,21600" o:spt="15" adj="10800" path="m,l@2,l21600,10800l@2,21600l,21600xe">
                      <v:stroke joinstyle="miter"/>
                      <v:formulas>
                        <v:f eqn="val 21600"/>
                        <v:f eqn="val #0"/>
                        <v:f eqn="sum width 0 @1"/>
                        <v:f eqn="sum @2 width 0"/>
                        <v:f eqn="prod 1 @3 2"/>
                        <v:f eqn="prod @2 1 2"/>
                      </v:formulas>
                      <v:path gradientshapeok="t" o:connecttype="rect" textboxrect="0,0,@4,21600"/>
                      <v:handles>
                        <v:h position="@2,0"/>
                      </v:handles>
                    </v:shapetype>
                    <v:shape id="shape_0" fillcolor="#a5b592" stroked="f" style="position:absolute;left:476;top:3506;width:3529;height:793;mso-wrap-style:square;v-text-anchor:middle;mso-position-horizontal-relative:page;mso-position-vertical:center;mso-position-vertical-relative:page" type="shapetype_15">
                      <v:textbox>
                        <w:txbxContent>
                          <w:p>
                            <w:pPr>
                              <w:overflowPunct w:val="false"/>
                              <w:spacing w:before="0" w:after="0" w:lineRule="auto" w:line="240"/>
                              <w:jc w:val="right"/>
                              <w:rPr/>
                            </w:pPr>
                            <w:r>
                              <w:rPr>
                                <w:sz w:val="28"/>
                                <w:b w:val="false"/>
                                <w:u w:val="none"/>
                                <w:dstrike w:val="false"/>
                                <w:strike w:val="false"/>
                                <w:i w:val="false"/>
                                <w:vertAlign w:val="baseline"/>
                                <w:position w:val="0"/>
                                <w:spacing w:val="0"/>
                                <w:szCs w:val="28"/>
                                <w:bCs w:val="false"/>
                                <w:iCs w:val="false"/>
                                <w:smallCaps w:val="false"/>
                                <w:caps w:val="false"/>
                                <w:rFonts w:ascii="Calibri" w:hAnsi="Calibri" w:eastAsia="Calibri"/>
                                <w:color w:val="9EB060"/>
                              </w:rPr>
                              <w:t>2020</w:t>
                            </w:r>
                          </w:p>
                        </w:txbxContent>
                      </v:textbox>
                      <v:fill o:detectmouseclick="t" type="solid" color2="#5a4a6d"/>
                      <v:stroke color="#3465a4" weight="25560" joinstyle="round" endcap="flat"/>
                    </v:shape>
                    <v:group id="shape_0" style="position:absolute;left:596;top:7900;width:3315;height:7733">
                      <v:group id="shape_0" style="position:absolute;left:746;top:7900;width:2673;height:7733"/>
                      <v:group id="shape_0" style="position:absolute;left:596;top:9425;width:3315;height:6208"/>
                    </v:group>
                  </v:group>
                </w:pict>
              </mc:Fallback>
            </mc:AlternateContent>
          </w:r>
          <w:r>
            <w:t xml:space="preserve">   </w:t>
          </w:r>
        </w:p>
        <w:p w:rsidR="008E239A" w:rsidRDefault="00D61E62">
          <w:pPr>
            <w:rPr>
              <w:b/>
              <w:bCs/>
              <w:sz w:val="32"/>
              <w:szCs w:val="32"/>
            </w:rPr>
          </w:pPr>
          <w:r>
            <w:rPr>
              <w:b/>
              <w:bCs/>
              <w:noProof/>
              <w:sz w:val="32"/>
              <w:szCs w:val="32"/>
            </w:rPr>
            <mc:AlternateContent>
              <mc:Choice Requires="wps">
                <w:drawing>
                  <wp:anchor distT="0" distB="0" distL="0" distR="0" simplePos="0" relativeHeight="33" behindDoc="0" locked="0" layoutInCell="0" allowOverlap="1">
                    <wp:simplePos x="0" y="0"/>
                    <wp:positionH relativeFrom="page">
                      <wp:posOffset>2886075</wp:posOffset>
                    </wp:positionH>
                    <wp:positionV relativeFrom="page">
                      <wp:posOffset>1866900</wp:posOffset>
                    </wp:positionV>
                    <wp:extent cx="4162425" cy="4067175"/>
                    <wp:effectExtent l="0" t="0" r="0" b="0"/>
                    <wp:wrapNone/>
                    <wp:docPr id="30" name="Надпись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4161960" cy="40665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/>
                          </wps:style>
                          <wps:txbx>
                            <w:txbxContent>
                              <w:p w:rsidR="008E239A" w:rsidRDefault="00D61E62">
                                <w:pPr>
                                  <w:pStyle w:val="afff0"/>
                                  <w:spacing w:before="120"/>
                                  <w:jc w:val="center"/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caps/>
                                    <w:color w:val="32391C" w:themeColor="text2" w:themeShade="BF"/>
                                    <w:sz w:val="40"/>
                                    <w:szCs w:val="40"/>
                                  </w:rPr>
                                  <w:t xml:space="preserve">СВОДНЫЙ ДОКЛАД </w:t>
                                </w:r>
                                <w:r>
                                  <w:rPr>
                                    <w:caps/>
                                    <w:color w:val="32391C" w:themeColor="text2" w:themeShade="BF"/>
                                    <w:sz w:val="40"/>
                                    <w:szCs w:val="40"/>
                                  </w:rPr>
                                  <w:br/>
                                  <w:t xml:space="preserve">БРЯНСКОЙ ОБЛАСТИ </w:t>
                                </w:r>
                                <w:r>
                                  <w:rPr>
                                    <w:caps/>
                                    <w:color w:val="32391C" w:themeColor="text2" w:themeShade="BF"/>
                                    <w:sz w:val="40"/>
                                    <w:szCs w:val="40"/>
                                  </w:rPr>
                                  <w:br/>
                                  <w:t>О РЕЗУЛЬТАТАХ МОНИТОРИНГА ЭФФЕКТИВНОСТИ ДЕЯТЕЛЬН</w:t>
                                </w:r>
                                <w:r>
                                  <w:rPr>
                                    <w:caps/>
                                    <w:color w:val="32391C" w:themeColor="text2" w:themeShade="BF"/>
                                    <w:sz w:val="40"/>
                                    <w:szCs w:val="40"/>
                                  </w:rPr>
                                  <w:t>О</w:t>
                                </w:r>
                                <w:r>
                                  <w:rPr>
                                    <w:caps/>
                                    <w:color w:val="32391C" w:themeColor="text2" w:themeShade="BF"/>
                                    <w:sz w:val="40"/>
                                    <w:szCs w:val="40"/>
                                  </w:rPr>
                                  <w:t>СТИ ОРГАНОВ МЕСТНОГО С</w:t>
                                </w:r>
                                <w:r>
                                  <w:rPr>
                                    <w:caps/>
                                    <w:color w:val="32391C" w:themeColor="text2" w:themeShade="BF"/>
                                    <w:sz w:val="40"/>
                                    <w:szCs w:val="40"/>
                                  </w:rPr>
                                  <w:t>А</w:t>
                                </w:r>
                                <w:r>
                                  <w:rPr>
                                    <w:caps/>
                                    <w:color w:val="32391C" w:themeColor="text2" w:themeShade="BF"/>
                                    <w:sz w:val="40"/>
                                    <w:szCs w:val="40"/>
                                  </w:rPr>
                                  <w:t>МОУПРАВЛЕНИЯ МУНИЦ</w:t>
                                </w:r>
                                <w:r>
                                  <w:rPr>
                                    <w:caps/>
                                    <w:color w:val="32391C" w:themeColor="text2" w:themeShade="BF"/>
                                    <w:sz w:val="40"/>
                                    <w:szCs w:val="40"/>
                                  </w:rPr>
                                  <w:t>И</w:t>
                                </w:r>
                                <w:r>
                                  <w:rPr>
                                    <w:caps/>
                                    <w:color w:val="32391C" w:themeColor="text2" w:themeShade="BF"/>
                                    <w:sz w:val="40"/>
                                    <w:szCs w:val="40"/>
                                  </w:rPr>
                                  <w:t>ПАЛЬНЫХ, ГОРОДСКИХ ОКР</w:t>
                                </w:r>
                                <w:r>
                                  <w:rPr>
                                    <w:caps/>
                                    <w:color w:val="32391C" w:themeColor="text2" w:themeShade="BF"/>
                                    <w:sz w:val="40"/>
                                    <w:szCs w:val="40"/>
                                  </w:rPr>
                                  <w:t>У</w:t>
                                </w:r>
                                <w:r>
                                  <w:rPr>
                                    <w:caps/>
                                    <w:color w:val="32391C" w:themeColor="text2" w:themeShade="BF"/>
                                    <w:sz w:val="40"/>
                                    <w:szCs w:val="40"/>
                                  </w:rPr>
                                  <w:t>ГОВ и муниципальных ра</w:t>
                                </w:r>
                                <w:r>
                                  <w:rPr>
                                    <w:caps/>
                                    <w:color w:val="32391C" w:themeColor="text2" w:themeShade="BF"/>
                                    <w:sz w:val="40"/>
                                    <w:szCs w:val="40"/>
                                  </w:rPr>
                                  <w:t>й</w:t>
                                </w:r>
                                <w:r>
                                  <w:rPr>
                                    <w:caps/>
                                    <w:color w:val="32391C" w:themeColor="text2" w:themeShade="BF"/>
                                    <w:sz w:val="40"/>
                                    <w:szCs w:val="40"/>
                                  </w:rPr>
                                  <w:t xml:space="preserve">онов БРЯНСКОЙ ОБЛАСТИ </w:t>
                                </w:r>
                                <w:r>
                                  <w:rPr>
                                    <w:caps/>
                                    <w:color w:val="32391C" w:themeColor="text2" w:themeShade="BF"/>
                                    <w:sz w:val="40"/>
                                    <w:szCs w:val="40"/>
                                  </w:rPr>
                                  <w:br/>
                                  <w:t>ЗА 2023 ГОД</w:t>
                                </w:r>
                                <w:r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  <w:t xml:space="preserve">       </w:t>
                                </w:r>
                              </w:p>
                            </w:txbxContent>
                          </wps:txbx>
                          <wps:bodyPr lIns="0" tIns="0" rIns="0" bIns="0"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rect id="shape_0" ID="Надпись 1" stroked="f" style="position:absolute;margin-left:227.25pt;margin-top:147pt;width:327.65pt;height:320.15pt;mso-wrap-style:square;v-text-anchor:top;mso-position-horizontal-relative:page;mso-position-vertical-relative:page">
                    <v:fill o:detectmouseclick="t" on="false"/>
                    <v:stroke color="#3465a4" weight="6480" joinstyle="round" endcap="flat"/>
                    <v:textbox>
                      <w:txbxContent>
                        <w:p>
                          <w:pPr>
                            <w:pStyle w:val="Style51"/>
                            <w:spacing w:before="120" w:after="0"/>
                            <w:jc w:val="center"/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</w:pPr>
                          <w:r>
                            <w:rPr>
                              <w:caps/>
                              <w:color w:val="32391C" w:themeColor="text2" w:themeShade="bf"/>
                              <w:sz w:val="40"/>
                              <w:szCs w:val="40"/>
                            </w:rPr>
                            <w:t xml:space="preserve">СВОДНЫЙ ДОКЛАД </w:t>
                            <w:br/>
                            <w:t xml:space="preserve">БРЯНСКОЙ ОБЛАСТИ </w:t>
                            <w:br/>
                            <w:t xml:space="preserve">О РЕЗУЛЬТАТАХ МОНИТОРИНГА ЭФФЕКТИВНОСТИ ДЕЯТЕЛЬНОСТИ ОРГАНОВ МЕСТНОГО САМОУПРАВЛЕНИЯ МУНИЦИПАЛЬНЫХ, ГОРОДСКИХ ОКРУГОВ и муниципальных районов БРЯНСКОЙ ОБЛАСТИ </w:t>
                            <w:br/>
                            <w:t>ЗА 2023 ГОД</w:t>
                          </w:r>
                          <w:r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  <w:t xml:space="preserve">       </w:t>
                          </w:r>
                        </w:p>
                      </w:txbxContent>
                    </v:textbox>
                    <w10:wrap type="none"/>
                  </v:rect>
                </w:pict>
              </mc:Fallback>
            </mc:AlternateContent>
          </w:r>
          <w:r>
            <w:rPr>
              <w:b/>
              <w:bCs/>
              <w:noProof/>
              <w:sz w:val="32"/>
              <w:szCs w:val="32"/>
            </w:rPr>
            <mc:AlternateContent>
              <mc:Choice Requires="wps">
                <w:drawing>
                  <wp:anchor distT="0" distB="0" distL="0" distR="0" simplePos="0" relativeHeight="34" behindDoc="0" locked="0" layoutInCell="0" allowOverlap="1">
                    <wp:simplePos x="0" y="0"/>
                    <wp:positionH relativeFrom="page">
                      <wp:posOffset>3175000</wp:posOffset>
                    </wp:positionH>
                    <wp:positionV relativeFrom="page">
                      <wp:posOffset>9408795</wp:posOffset>
                    </wp:positionV>
                    <wp:extent cx="3480435" cy="561975"/>
                    <wp:effectExtent l="0" t="0" r="7620" b="0"/>
                    <wp:wrapNone/>
                    <wp:docPr id="31" name="Надпись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3479760" cy="5612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/>
                          </wps:style>
                          <wps:txbx>
                            <w:txbxContent>
                              <w:p w:rsidR="008E239A" w:rsidRDefault="00D61E62">
                                <w:pPr>
                                  <w:pStyle w:val="aff6"/>
                                  <w:jc w:val="center"/>
                                  <w:rPr>
                                    <w:caps/>
                                    <w:color w:val="595959" w:themeColor="text1" w:themeTint="A6"/>
                                  </w:rPr>
                                </w:pPr>
                                <w:r>
                                  <w:rPr>
                                    <w:caps/>
                                    <w:color w:val="595959" w:themeColor="text1" w:themeTint="A6"/>
                                  </w:rPr>
                                  <w:t xml:space="preserve">Департамент </w:t>
                                </w:r>
                                <w:r>
                                  <w:rPr>
                                    <w:caps/>
                                    <w:color w:val="595959" w:themeColor="text1" w:themeTint="A6"/>
                                  </w:rPr>
                                  <w:t>ЭКОНОМИЧЕСКОГО РАЗВИТИЯ</w:t>
                                </w:r>
                              </w:p>
                              <w:p w:rsidR="008E239A" w:rsidRDefault="00D61E62">
                                <w:pPr>
                                  <w:pStyle w:val="aff6"/>
                                  <w:jc w:val="center"/>
                                  <w:rPr>
                                    <w:color w:val="595959" w:themeColor="text1" w:themeTint="A6"/>
                                  </w:rPr>
                                </w:pPr>
                                <w:r>
                                  <w:rPr>
                                    <w:caps/>
                                    <w:color w:val="595959" w:themeColor="text1" w:themeTint="A6"/>
                                  </w:rPr>
                                  <w:t>БРЯНСКОЙ ОБЛАСТИ</w:t>
                                </w:r>
                              </w:p>
                            </w:txbxContent>
                          </wps:txbx>
                          <wps:bodyPr lIns="0" tIns="0" rIns="0" bIns="0" anchor="b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45000</wp14:pctWidth>
                    </wp14:sizeRelH>
                  </wp:anchor>
                </w:drawing>
              </mc:Choice>
              <mc:Fallback>
                <w:pict>
                  <v:rect id="shape_0" ID="Надпись 32" stroked="f" style="position:absolute;margin-left:250pt;margin-top:740.85pt;width:273.95pt;height:44.15pt;mso-wrap-style:square;v-text-anchor:bottom;mso-position-horizontal-relative:page;mso-position-vertical-relative:page">
                    <v:fill o:detectmouseclick="t" on="false"/>
                    <v:stroke color="#3465a4" weight="6480" joinstyle="round" endcap="flat"/>
                    <v:textbox>
                      <w:txbxContent>
                        <w:p>
                          <w:pPr>
                            <w:pStyle w:val="NoSpacing"/>
                            <w:jc w:val="center"/>
                            <w:rPr>
                              <w:caps/>
                              <w:color w:val="595959" w:themeColor="text1" w:themeTint="a6"/>
                            </w:rPr>
                          </w:pPr>
                          <w:r>
                            <w:rPr>
                              <w:caps/>
                              <w:color w:val="595959" w:themeColor="text1" w:themeTint="a6"/>
                            </w:rPr>
                            <w:t>Департамент ЭКОНОМИЧЕСКОГО РАЗВИТИЯ</w:t>
                          </w:r>
                        </w:p>
                        <w:p>
                          <w:pPr>
                            <w:pStyle w:val="NoSpacing"/>
                            <w:jc w:val="center"/>
                            <w:rPr>
                              <w:color w:val="595959" w:themeColor="text1" w:themeTint="a6"/>
                            </w:rPr>
                          </w:pPr>
                          <w:r>
                            <w:rPr>
                              <w:caps/>
                              <w:color w:val="595959" w:themeColor="text1" w:themeTint="a6"/>
                            </w:rPr>
                            <w:t>БРЯНСКОЙ ОБЛАСТИ</w:t>
                          </w:r>
                        </w:p>
                      </w:txbxContent>
                    </v:textbox>
                    <w10:wrap type="none"/>
                  </v:rect>
                </w:pict>
              </mc:Fallback>
            </mc:AlternateContent>
          </w:r>
        </w:p>
        <w:p w:rsidR="008E239A" w:rsidRDefault="00D61E62">
          <w:pPr>
            <w:rPr>
              <w:b/>
              <w:bCs/>
              <w:sz w:val="32"/>
              <w:szCs w:val="32"/>
            </w:rPr>
          </w:pPr>
          <w:r>
            <w:br w:type="page"/>
          </w:r>
        </w:p>
        <w:p w:rsidR="008E239A" w:rsidRDefault="00D61E62">
          <w:pPr>
            <w:jc w:val="center"/>
          </w:pPr>
          <w:r>
            <w:rPr>
              <w:b/>
              <w:bCs/>
              <w:sz w:val="32"/>
              <w:szCs w:val="32"/>
            </w:rPr>
            <w:lastRenderedPageBreak/>
            <w:t>СОДЕРЖАНИЕ</w:t>
          </w:r>
        </w:p>
        <w:p w:rsidR="008E239A" w:rsidRDefault="008E239A">
          <w:pPr>
            <w:jc w:val="center"/>
            <w:rPr>
              <w:sz w:val="32"/>
              <w:szCs w:val="32"/>
            </w:rPr>
          </w:pPr>
        </w:p>
        <w:p w:rsidR="008E239A" w:rsidRDefault="00D61E62">
          <w:pPr>
            <w:numPr>
              <w:ilvl w:val="0"/>
              <w:numId w:val="11"/>
            </w:numPr>
            <w:spacing w:after="120"/>
            <w:ind w:left="1287"/>
          </w:pPr>
          <w:r>
            <w:rPr>
              <w:sz w:val="24"/>
              <w:szCs w:val="24"/>
            </w:rPr>
            <w:t>ВВЕДЕНИЕ.</w:t>
          </w:r>
        </w:p>
        <w:p w:rsidR="008E239A" w:rsidRDefault="00D61E62">
          <w:pPr>
            <w:numPr>
              <w:ilvl w:val="0"/>
              <w:numId w:val="12"/>
            </w:numPr>
            <w:suppressAutoHyphens/>
            <w:spacing w:after="120"/>
            <w:ind w:left="1287"/>
            <w:jc w:val="both"/>
          </w:pPr>
          <w:r>
            <w:rPr>
              <w:sz w:val="24"/>
              <w:szCs w:val="24"/>
            </w:rPr>
            <w:t>МОНИТОРИНГ ЭФФЕКТИВНОСТИ ДЕЯТЕЛЬНОСТИ ОРГАНОВ МЕСТНОГО САМОУПРАВЛЕНИЯ МУНИЦИПАЛЬНЫХ,  ГОРОДСКИХ ОКРУГОВ И МУНИЦИПАЛЬНЫХ РАЙОНОВ БРЯНСКОЙ ОБЛАСТИ.</w:t>
          </w:r>
        </w:p>
        <w:p w:rsidR="008E239A" w:rsidRDefault="00D61E62">
          <w:r>
            <w:t>1. Экономическое развитие.</w:t>
          </w:r>
        </w:p>
        <w:p w:rsidR="008E239A" w:rsidRDefault="00D61E62">
          <w:r>
            <w:t>2. Дошкольное обр</w:t>
          </w:r>
          <w:r>
            <w:t xml:space="preserve">азование. </w:t>
          </w:r>
        </w:p>
        <w:p w:rsidR="008E239A" w:rsidRDefault="00D61E62">
          <w:r>
            <w:t>3. Общее и дополнительное образование.</w:t>
          </w:r>
        </w:p>
        <w:p w:rsidR="008E239A" w:rsidRDefault="00D61E62">
          <w:r>
            <w:t>4. Культура.</w:t>
          </w:r>
        </w:p>
        <w:p w:rsidR="008E239A" w:rsidRDefault="00D61E62">
          <w:r>
            <w:t>5. Физическая культура и спорт.</w:t>
          </w:r>
        </w:p>
        <w:p w:rsidR="008E239A" w:rsidRDefault="00D61E62">
          <w:r>
            <w:t>5. Жилищное строительство и обеспечение граждан жильем.</w:t>
          </w:r>
        </w:p>
        <w:p w:rsidR="008E239A" w:rsidRDefault="00D61E62">
          <w:r>
            <w:t>7. Жилищно-коммунальное хозяйство.</w:t>
          </w:r>
        </w:p>
        <w:p w:rsidR="008E239A" w:rsidRDefault="00D61E62">
          <w:r>
            <w:t>8. Организация муниципального управления.</w:t>
          </w:r>
        </w:p>
        <w:p w:rsidR="008E239A" w:rsidRDefault="00D61E62">
          <w:pPr>
            <w:spacing w:after="120"/>
          </w:pPr>
          <w:r>
            <w:rPr>
              <w:color w:val="000000"/>
            </w:rPr>
            <w:t xml:space="preserve">9 Энергосбережение и </w:t>
          </w:r>
          <w:r>
            <w:rPr>
              <w:color w:val="000000"/>
            </w:rPr>
            <w:t>повышение энергетической эффективности.</w:t>
          </w:r>
        </w:p>
        <w:p w:rsidR="008E239A" w:rsidRDefault="00D61E62">
          <w:pPr>
            <w:numPr>
              <w:ilvl w:val="0"/>
              <w:numId w:val="13"/>
            </w:numPr>
            <w:suppressAutoHyphens/>
            <w:jc w:val="both"/>
          </w:pPr>
          <w:r>
            <w:rPr>
              <w:sz w:val="24"/>
              <w:szCs w:val="24"/>
            </w:rPr>
            <w:t>СВОДНЫЙ РЕЙТИНГ МУНИЦИПАЛЬНЫХ, ГОРОДСКИХ ОКРУГОВ И МУНИЦИПАЛЬНЫХ РАЙОНОВ  БРЯНСКОЙ ОБЛАСТИ ЗА 2023 ГОД.</w:t>
          </w:r>
        </w:p>
        <w:p w:rsidR="008E239A" w:rsidRDefault="008E239A">
          <w:pPr>
            <w:rPr>
              <w:sz w:val="16"/>
              <w:szCs w:val="16"/>
            </w:rPr>
          </w:pPr>
        </w:p>
        <w:p w:rsidR="008E239A" w:rsidRDefault="00D61E62">
          <w:pPr>
            <w:jc w:val="both"/>
          </w:pPr>
          <w:r>
            <w:t>Приложение 1. Общая информация об органах местного самоуправления Брянской области Брянской области.</w:t>
          </w:r>
        </w:p>
        <w:p w:rsidR="008E239A" w:rsidRDefault="008E239A">
          <w:pPr>
            <w:jc w:val="both"/>
          </w:pPr>
        </w:p>
        <w:p w:rsidR="008E239A" w:rsidRDefault="00D61E62">
          <w:pPr>
            <w:suppressAutoHyphens/>
            <w:jc w:val="both"/>
          </w:pPr>
          <w:r>
            <w:t>Приложени</w:t>
          </w:r>
          <w:r>
            <w:t>е 2. Сводная роспись показателей эффективности деятельности органов местного самоуправления Брянской области за отчетный год и 3 года, предшествующие отчетному.</w:t>
          </w:r>
        </w:p>
        <w:p w:rsidR="008E239A" w:rsidRDefault="008E239A">
          <w:pPr>
            <w:jc w:val="both"/>
          </w:pPr>
        </w:p>
        <w:p w:rsidR="008E239A" w:rsidRDefault="00D61E62">
          <w:pPr>
            <w:jc w:val="both"/>
          </w:pPr>
          <w:r>
            <w:t>Приложение 3. Итоги комплексной оценки эффективности деятельности органов местного самоуправле</w:t>
          </w:r>
          <w:r>
            <w:t>ния Брянской области за 2023 год.</w:t>
          </w:r>
        </w:p>
        <w:p w:rsidR="008E239A" w:rsidRDefault="00D61E62">
          <w:r>
            <w:br w:type="page"/>
          </w:r>
        </w:p>
        <w:p w:rsidR="008E239A" w:rsidRDefault="008E239A"/>
        <w:p w:rsidR="008E239A" w:rsidRDefault="00D61E62">
          <w:pPr>
            <w:numPr>
              <w:ilvl w:val="0"/>
              <w:numId w:val="14"/>
            </w:numPr>
            <w:ind w:left="0" w:firstLine="0"/>
            <w:jc w:val="center"/>
          </w:pPr>
          <w:r>
            <w:rPr>
              <w:b/>
              <w:bCs/>
            </w:rPr>
            <w:t>Введение</w:t>
          </w:r>
        </w:p>
        <w:p w:rsidR="008E239A" w:rsidRDefault="00D61E62">
          <w:pPr>
            <w:suppressAutoHyphens/>
            <w:ind w:firstLine="709"/>
            <w:jc w:val="both"/>
            <w:outlineLvl w:val="0"/>
          </w:pPr>
          <w:r>
            <w:t>Сводный доклад о результатах мониторинга эффективности деятельности органов местного самоуправления муниципальных, городских округов</w:t>
          </w:r>
          <w:r w:rsidRPr="00AD6A4D">
            <w:t xml:space="preserve"> </w:t>
          </w:r>
          <w:r>
            <w:rPr>
              <w:color w:val="000000"/>
            </w:rPr>
            <w:t>и</w:t>
          </w:r>
          <w:r>
            <w:t xml:space="preserve"> муниципальных районов </w:t>
          </w:r>
          <w:r>
            <w:t>Брянской области за 2023 год подготовлен в соответств</w:t>
          </w:r>
          <w:r>
            <w:t xml:space="preserve">ии с Указом Президента Российской Федерации от 28.04.2008 года        № 607 «Об оценке эффективности деятельности органов местного самоуправления муниципальных, городских округов и муниципальных районов» и постановлением Правительства Российской Федерации </w:t>
          </w:r>
          <w:r>
            <w:t>от 17.12.2012 года №1317 «О мерах по реализации Указа Президента Российской Федерации от 28 апреля 2008 года                 № 607 «Об оценке эффективности деятельности органов местного самоуправления муниципальных, городских округов и муниципальных районо</w:t>
          </w:r>
          <w:r>
            <w:t>в» и подпункта «и» пункта 2 Указа Президента Российской Федерации от 7 мая 2012 года № 601 «Об основных направлениях совершенствования системы государственного управления».</w:t>
          </w:r>
        </w:p>
        <w:p w:rsidR="008E239A" w:rsidRDefault="00D61E62">
          <w:pPr>
            <w:suppressAutoHyphens/>
            <w:ind w:firstLine="709"/>
            <w:jc w:val="both"/>
            <w:outlineLvl w:val="0"/>
          </w:pPr>
          <w:r>
            <w:t>В соответствии с Законом Брянской области</w:t>
          </w:r>
          <w:r>
            <w:rPr>
              <w:color w:val="22272F"/>
            </w:rPr>
            <w:t xml:space="preserve"> от 9 марта 2005 года № 3-З «О наделении м</w:t>
          </w:r>
          <w:r>
            <w:rPr>
              <w:color w:val="22272F"/>
            </w:rPr>
            <w:t xml:space="preserve">униципальных образований статусом городского округа, муниципального </w:t>
          </w:r>
          <w:r>
            <w:rPr>
              <w:rStyle w:val="af0"/>
              <w:i w:val="0"/>
              <w:iCs w:val="0"/>
              <w:color w:val="22272F"/>
            </w:rPr>
            <w:t>округа, муниципального</w:t>
          </w:r>
          <w:r>
            <w:rPr>
              <w:color w:val="22272F"/>
            </w:rPr>
            <w:t xml:space="preserve"> района, городского поселения, сельского поселения и установлении границ муниципальных образований в Брянской области» </w:t>
          </w:r>
          <w:r>
            <w:t xml:space="preserve">статусом муниципального района наделено </w:t>
          </w:r>
          <w:r>
            <w:rPr>
              <w:color w:val="000000"/>
            </w:rPr>
            <w:t xml:space="preserve">24 </w:t>
          </w:r>
          <w:r>
            <w:t>муници</w:t>
          </w:r>
          <w:r>
            <w:t xml:space="preserve">пальных образования, статусом городского округа – </w:t>
          </w:r>
          <w:r>
            <w:rPr>
              <w:color w:val="000000"/>
            </w:rPr>
            <w:t>5</w:t>
          </w:r>
          <w:r>
            <w:t xml:space="preserve"> муниципальных образований, статусом муниципального округа — 2 муниципальных образования. На 1 января 2024 года численность населения Брянской области составила </w:t>
          </w:r>
          <w:r>
            <w:rPr>
              <w:color w:val="000000"/>
            </w:rPr>
            <w:t xml:space="preserve">1142,4 тыс. </w:t>
          </w:r>
          <w:r>
            <w:t>человек.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Общая информация </w:t>
          </w:r>
          <w:r>
            <w:t>об органах местного самоуправления Брянской области представлена в приложении 1 к настоящему Сводному докладу.</w:t>
          </w:r>
        </w:p>
        <w:p w:rsidR="008E239A" w:rsidRDefault="00D61E62">
          <w:pPr>
            <w:suppressAutoHyphens/>
            <w:ind w:firstLine="709"/>
            <w:jc w:val="both"/>
          </w:pPr>
          <w:r>
            <w:t>В Брянской области мониторинг и оценка эффективности деятельности органов местного самоуправления муниципальных, городских округов и муниципальны</w:t>
          </w:r>
          <w:r>
            <w:t>х районов за 2023 год проведены в соответствии со следующими нормативными правовыми актами:</w:t>
          </w:r>
        </w:p>
        <w:p w:rsidR="008E239A" w:rsidRDefault="00D61E62">
          <w:pPr>
            <w:suppressAutoHyphens/>
            <w:ind w:firstLine="709"/>
            <w:jc w:val="both"/>
          </w:pPr>
          <w:r>
            <w:t>постановлением Правительства Брянской области от 20 мая 2013 г. №143-п «О мерах по реализации Указа Президента Российской Федерации от 28 апреля 2008 года № 607 «Об</w:t>
          </w:r>
          <w:r>
            <w:t xml:space="preserve"> оценке эффективности деятельности органов местного самоуправления муниципальных, городских округов и муниципальных районов» (далее – постановление № </w:t>
          </w:r>
          <w:r>
            <w:rPr>
              <w:color w:val="000000"/>
            </w:rPr>
            <w:t xml:space="preserve">143                                </w:t>
          </w:r>
          <w:r>
            <w:t xml:space="preserve">-п); </w:t>
          </w:r>
        </w:p>
        <w:p w:rsidR="008E239A" w:rsidRDefault="00D61E62">
          <w:pPr>
            <w:suppressAutoHyphens/>
            <w:ind w:firstLine="709"/>
            <w:jc w:val="both"/>
          </w:pPr>
          <w:r>
            <w:t>постановление Правительства Брянской области от 22 июля 2013 г. №</w:t>
          </w:r>
          <w:r>
            <w:t xml:space="preserve"> 355-п «Об утверждении Порядка организации и проведения опроса населения с использованием информационно-коммуникационных сетей и информационных технологий по оценке эффективности деятельности руководителей органов местного самоуправления муниципальных, гор</w:t>
          </w:r>
          <w:r>
            <w:t>одских округов и муниципальных районов Брянской области, унитарных предприятий и учреждений, действующих на региональном и муниципальном уровнях, акционерных обществ, контрольный пакет акций которых находится в государственной собственности или в муниципал</w:t>
          </w:r>
          <w:r>
            <w:t>ьной собственности, осуществляющих оказание услуг населению Брянской области».</w:t>
          </w:r>
        </w:p>
        <w:p w:rsidR="008E239A" w:rsidRDefault="00D61E62">
          <w:pPr>
            <w:suppressAutoHyphens/>
            <w:ind w:firstLine="567"/>
            <w:jc w:val="both"/>
          </w:pPr>
          <w:r>
            <w:lastRenderedPageBreak/>
            <w:t xml:space="preserve">Роспись показателей эффективности деятельности органов местного самоуправления Брянской области за отчетный год и </w:t>
          </w:r>
          <w:r>
            <w:rPr>
              <w:color w:val="000000"/>
            </w:rPr>
            <w:t>три</w:t>
          </w:r>
          <w:r>
            <w:t xml:space="preserve"> года, предшествующие отчетному, представлена в приложении 2</w:t>
          </w:r>
          <w:r>
            <w:t xml:space="preserve"> к настоящему Сводному докладу.</w:t>
          </w:r>
        </w:p>
        <w:p w:rsidR="008E239A" w:rsidRDefault="00D61E62">
          <w:pPr>
            <w:tabs>
              <w:tab w:val="left" w:pos="0"/>
            </w:tabs>
            <w:suppressAutoHyphens/>
            <w:ind w:firstLine="567"/>
            <w:jc w:val="both"/>
          </w:pPr>
          <w:r>
            <w:t xml:space="preserve">Итоги комплексной оценки эффективности деятельности органов местного самоуправления муниципальных, городских округов и муниципальных районов  Брянской области за 2023 представлены в приложении 3 к настоящему Сводному </w:t>
          </w:r>
          <w:r>
            <w:t>докладу.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Оценка проведена по достигнутому уровню и динамике показателей социально-экономического развития муниципальных образований в 2023 году (за базовый взят 2022 год). </w:t>
          </w:r>
        </w:p>
        <w:p w:rsidR="008E239A" w:rsidRDefault="00D61E62">
          <w:pPr>
            <w:suppressAutoHyphens/>
            <w:jc w:val="both"/>
          </w:pPr>
          <w:r>
            <w:rPr>
              <w:rFonts w:eastAsiaTheme="minorHAnsi"/>
              <w:lang w:eastAsia="en-US"/>
            </w:rPr>
            <w:tab/>
            <w:t>В качестве исходных данных при формировании доклада главы использовались:</w:t>
          </w:r>
        </w:p>
        <w:p w:rsidR="008E239A" w:rsidRDefault="00D61E62">
          <w:pPr>
            <w:suppressAutoHyphens/>
            <w:jc w:val="both"/>
          </w:pPr>
          <w:r>
            <w:rPr>
              <w:rFonts w:eastAsiaTheme="minorHAnsi"/>
              <w:lang w:eastAsia="en-US"/>
            </w:rPr>
            <w:tab/>
            <w:t>официал</w:t>
          </w:r>
          <w:r>
            <w:rPr>
              <w:rFonts w:eastAsiaTheme="minorHAnsi"/>
              <w:lang w:eastAsia="en-US"/>
            </w:rPr>
            <w:t>ьные статистические данные;</w:t>
          </w:r>
        </w:p>
        <w:p w:rsidR="008E239A" w:rsidRDefault="00D61E62">
          <w:pPr>
            <w:suppressAutoHyphens/>
            <w:jc w:val="both"/>
          </w:pPr>
          <w:r>
            <w:rPr>
              <w:rFonts w:eastAsiaTheme="minorHAnsi"/>
              <w:lang w:eastAsia="en-US"/>
            </w:rPr>
            <w:tab/>
            <w:t xml:space="preserve">официальные данные отраслевых органов исполнительной власти Брянской области (департамента образования и науки Брянской области, департамента здравоохранения Брянской области, департамента культуры Брянской области, </w:t>
          </w:r>
          <w:r>
            <w:rPr>
              <w:rFonts w:eastAsiaTheme="minorHAnsi"/>
              <w:color w:val="000000"/>
              <w:lang w:eastAsia="en-US"/>
            </w:rPr>
            <w:t>департамент</w:t>
          </w:r>
          <w:r>
            <w:rPr>
              <w:rFonts w:eastAsiaTheme="minorHAnsi"/>
              <w:color w:val="000000"/>
              <w:lang w:eastAsia="en-US"/>
            </w:rPr>
            <w:t>а</w:t>
          </w:r>
          <w:r>
            <w:rPr>
              <w:rFonts w:eastAsiaTheme="minorHAnsi"/>
              <w:lang w:eastAsia="en-US"/>
            </w:rPr>
            <w:t xml:space="preserve"> физической культуры и спорта Брянской области, департамента топливно-энергетического комплекса и жилищно-коммунального хозяйства Брянской области, департамента сельского хозяйства Брянской области);</w:t>
          </w:r>
        </w:p>
        <w:p w:rsidR="008E239A" w:rsidRDefault="00D61E62">
          <w:pPr>
            <w:suppressAutoHyphens/>
            <w:jc w:val="both"/>
          </w:pPr>
          <w:r>
            <w:rPr>
              <w:rFonts w:eastAsiaTheme="minorHAnsi"/>
              <w:lang w:eastAsia="en-US"/>
            </w:rPr>
            <w:tab/>
            <w:t>отчет об исполнении бюджета муниципального образования</w:t>
          </w:r>
          <w:r>
            <w:rPr>
              <w:rFonts w:eastAsiaTheme="minorHAnsi"/>
              <w:lang w:eastAsia="en-US"/>
            </w:rPr>
            <w:t xml:space="preserve"> (муниципального, городского округа, муниципального района Брянской области);</w:t>
          </w:r>
        </w:p>
        <w:p w:rsidR="008E239A" w:rsidRDefault="00D61E62">
          <w:pPr>
            <w:suppressAutoHyphens/>
            <w:jc w:val="both"/>
          </w:pPr>
          <w:r>
            <w:rPr>
              <w:rFonts w:eastAsiaTheme="minorHAnsi"/>
              <w:lang w:eastAsia="en-US"/>
            </w:rPr>
            <w:tab/>
            <w:t>данные 3-летнего бюджета муниципального образования (муниципального, городского округа, муниципального района Брянской области);</w:t>
          </w:r>
        </w:p>
        <w:p w:rsidR="008E239A" w:rsidRDefault="00D61E62">
          <w:pPr>
            <w:suppressAutoHyphens/>
            <w:jc w:val="both"/>
          </w:pPr>
          <w:r>
            <w:rPr>
              <w:rFonts w:eastAsiaTheme="minorHAnsi"/>
              <w:lang w:eastAsia="en-US"/>
            </w:rPr>
            <w:tab/>
            <w:t>значения показателей прогноза социально-экономи</w:t>
          </w:r>
          <w:r>
            <w:rPr>
              <w:rFonts w:eastAsiaTheme="minorHAnsi"/>
              <w:lang w:eastAsia="en-US"/>
            </w:rPr>
            <w:t>ческого развития муниципального образования (муниципального, городского округа, муниципального района Брянской области);</w:t>
          </w:r>
        </w:p>
        <w:p w:rsidR="008E239A" w:rsidRDefault="00D61E62">
          <w:pPr>
            <w:suppressAutoHyphens/>
            <w:jc w:val="both"/>
          </w:pPr>
          <w:r>
            <w:rPr>
              <w:rFonts w:eastAsiaTheme="minorHAnsi"/>
              <w:lang w:eastAsia="en-US"/>
            </w:rPr>
            <w:tab/>
            <w:t>значения показателей, планируемых в рамках программ комплексного социально-экономического развития муниципальных, городских округов, м</w:t>
          </w:r>
          <w:r>
            <w:rPr>
              <w:rFonts w:eastAsiaTheme="minorHAnsi"/>
              <w:lang w:eastAsia="en-US"/>
            </w:rPr>
            <w:t>униципальных районов Брянской области;</w:t>
          </w:r>
        </w:p>
        <w:p w:rsidR="008E239A" w:rsidRDefault="00D61E62">
          <w:pPr>
            <w:suppressAutoHyphens/>
            <w:jc w:val="both"/>
          </w:pPr>
          <w:r>
            <w:rPr>
              <w:rFonts w:eastAsiaTheme="minorHAnsi"/>
              <w:lang w:eastAsia="en-US"/>
            </w:rPr>
            <w:tab/>
            <w:t>данные опросов населения о деятельности руководителей органов местного самоуправления муниципальных, городских округов и муниципальных районов Брянской области.</w:t>
          </w:r>
        </w:p>
        <w:p w:rsidR="008E239A" w:rsidRDefault="00D61E62">
          <w:pPr>
            <w:suppressAutoHyphens/>
            <w:jc w:val="both"/>
          </w:pPr>
          <w:r>
            <w:tab/>
            <w:t>Результаты мониторинга эффективности деятельности орга</w:t>
          </w:r>
          <w:r>
            <w:t>нов местного самоуправления муниципальных, городских округов и муниципальных районов Брянской области за 20</w:t>
          </w:r>
          <w:r>
            <w:rPr>
              <w:color w:val="000000"/>
            </w:rPr>
            <w:t>23</w:t>
          </w:r>
          <w:r>
            <w:t xml:space="preserve"> год подтвердили значительную дифференциацию муниципальных образований по уровню социально-экономического развития.</w:t>
          </w:r>
        </w:p>
        <w:p w:rsidR="008E239A" w:rsidRDefault="00D61E62">
          <w:pPr>
            <w:suppressAutoHyphens/>
            <w:jc w:val="both"/>
          </w:pPr>
          <w:r>
            <w:tab/>
            <w:t>Сводный доклад Брянской област</w:t>
          </w:r>
          <w:r>
            <w:t xml:space="preserve">и о результатах мониторинга эффективности деятельности органов местного самоуправления Брянской области за </w:t>
          </w:r>
          <w:r>
            <w:rPr>
              <w:color w:val="000000"/>
            </w:rPr>
            <w:t>2023</w:t>
          </w:r>
          <w:r>
            <w:t xml:space="preserve"> год размещается на официальном сайте Правительства Брянской области </w:t>
          </w:r>
          <w:hyperlink r:id="rId10">
            <w:r>
              <w:t>www.bryanskobl.ru</w:t>
            </w:r>
          </w:hyperlink>
          <w:r>
            <w:rPr>
              <w:rStyle w:val="-"/>
              <w:u w:val="none"/>
            </w:rPr>
            <w:t xml:space="preserve">. </w:t>
          </w:r>
          <w:r>
            <w:t xml:space="preserve">и в государственной автоматизированной информационной системе «Управление».  </w:t>
          </w:r>
          <w:r>
            <w:br w:type="page"/>
          </w:r>
        </w:p>
        <w:p w:rsidR="008E239A" w:rsidRDefault="00D61E62">
          <w:pPr>
            <w:numPr>
              <w:ilvl w:val="0"/>
              <w:numId w:val="3"/>
            </w:numPr>
            <w:suppressAutoHyphens/>
            <w:jc w:val="center"/>
          </w:pPr>
          <w:r>
            <w:rPr>
              <w:b/>
              <w:bCs/>
            </w:rPr>
            <w:lastRenderedPageBreak/>
            <w:t>ЭКОНОМИЧЕСКОЕ РАЗВИТИЕ</w:t>
          </w:r>
        </w:p>
        <w:p w:rsidR="008E239A" w:rsidRDefault="008E239A">
          <w:pPr>
            <w:suppressAutoHyphens/>
            <w:ind w:left="720"/>
            <w:jc w:val="center"/>
          </w:pPr>
        </w:p>
        <w:p w:rsidR="008E239A" w:rsidRDefault="00D61E62">
          <w:pPr>
            <w:suppressAutoHyphens/>
            <w:ind w:firstLine="652"/>
            <w:jc w:val="center"/>
          </w:pPr>
          <w:r>
            <w:rPr>
              <w:b/>
            </w:rPr>
            <w:t>Малое предпринимательство</w:t>
          </w:r>
        </w:p>
        <w:p w:rsidR="008E239A" w:rsidRDefault="008E239A">
          <w:pPr>
            <w:pBdr>
              <w:bottom w:val="single" w:sz="4" w:space="31" w:color="FFFFFF"/>
            </w:pBdr>
            <w:shd w:val="clear" w:color="auto" w:fill="FFFFFF"/>
            <w:tabs>
              <w:tab w:val="left" w:pos="0"/>
              <w:tab w:val="left" w:pos="3276"/>
              <w:tab w:val="left" w:pos="3960"/>
            </w:tabs>
            <w:suppressAutoHyphens/>
            <w:ind w:firstLine="709"/>
            <w:jc w:val="both"/>
            <w:textAlignment w:val="baseline"/>
          </w:pPr>
        </w:p>
        <w:p w:rsidR="008E239A" w:rsidRDefault="00D61E62">
          <w:pPr>
            <w:pBdr>
              <w:bottom w:val="single" w:sz="4" w:space="0" w:color="FFFFFF"/>
            </w:pBdr>
            <w:shd w:val="clear" w:color="auto" w:fill="FFFFFF"/>
            <w:tabs>
              <w:tab w:val="left" w:pos="0"/>
              <w:tab w:val="left" w:pos="3276"/>
              <w:tab w:val="left" w:pos="3960"/>
            </w:tabs>
            <w:suppressAutoHyphens/>
            <w:ind w:firstLine="652"/>
            <w:jc w:val="both"/>
          </w:pPr>
          <w:r>
            <w:rPr>
              <w:color w:val="000000"/>
            </w:rPr>
            <w:t xml:space="preserve">В </w:t>
          </w:r>
          <w:r>
            <w:rPr>
              <w:color w:val="000000"/>
            </w:rPr>
            <w:t>рамках</w:t>
          </w:r>
          <w:r>
            <w:rPr>
              <w:color w:val="000000"/>
            </w:rPr>
            <w:t xml:space="preserve"> </w:t>
          </w:r>
          <w:r>
            <w:rPr>
              <w:color w:val="000000"/>
            </w:rPr>
            <w:t xml:space="preserve">национального проекта «Малое и среднее предпринимательство и поддержка индивидуальной предпринимательской инициативы» в 2023 году на территории Брянской области реализовывались мероприятия трех </w:t>
          </w:r>
          <w:r>
            <w:rPr>
              <w:color w:val="000000"/>
            </w:rPr>
            <w:t>региональных проектов: «</w:t>
          </w:r>
          <w:r>
            <w:rPr>
              <w:bCs/>
              <w:color w:val="000000"/>
            </w:rPr>
            <w:t>Создание благоприятных условий для осу</w:t>
          </w:r>
          <w:r>
            <w:rPr>
              <w:bCs/>
              <w:color w:val="000000"/>
            </w:rPr>
            <w:t xml:space="preserve">ществления деятельности самозанятыми гражданами», «Создание условий для легкого старта и комфортного ведения бизнеса», </w:t>
          </w:r>
          <w:r>
            <w:rPr>
              <w:color w:val="000000"/>
            </w:rPr>
            <w:t>«Акселерация субъектов малого и среднего предпринимательства»</w:t>
          </w:r>
          <w:r>
            <w:rPr>
              <w:bCs/>
            </w:rPr>
            <w:t xml:space="preserve">. </w:t>
          </w:r>
        </w:p>
        <w:p w:rsidR="008E239A" w:rsidRDefault="00D61E62">
          <w:pPr>
            <w:pBdr>
              <w:bottom w:val="single" w:sz="4" w:space="31" w:color="FFFFFF"/>
            </w:pBdr>
            <w:shd w:val="clear" w:color="auto" w:fill="FFFFFF"/>
            <w:tabs>
              <w:tab w:val="left" w:pos="0"/>
              <w:tab w:val="left" w:pos="3276"/>
              <w:tab w:val="left" w:pos="3960"/>
            </w:tabs>
            <w:suppressAutoHyphens/>
            <w:ind w:firstLine="709"/>
            <w:jc w:val="both"/>
            <w:textAlignment w:val="baseline"/>
          </w:pPr>
          <w:r>
            <w:rPr>
              <w:color w:val="000000"/>
              <w:lang w:eastAsia="zh-CN"/>
            </w:rPr>
            <w:t>С 1 июля 2022 года Законом Брянской области от 29 мая 2020 года № 34-З «О</w:t>
          </w:r>
          <w:r>
            <w:rPr>
              <w:color w:val="000000"/>
              <w:lang w:eastAsia="zh-CN"/>
            </w:rPr>
            <w:t xml:space="preserve"> введении в действие специального налогового режима «Налог на профессиональный доход» на территории Брянской области введен специальный налоговый режим для самозанятых граждан в целях легализации их трудовой деятельности. По состоянию на 31 декабря 2023 го</w:t>
          </w:r>
          <w:r>
            <w:rPr>
              <w:color w:val="000000"/>
              <w:lang w:eastAsia="zh-CN"/>
            </w:rPr>
            <w:t xml:space="preserve">да в Брянской области количество самозанятых граждан, зафиксировавших свой статус и применяющих специальный налоговый режим «Налог на профессиональный доход», составило 42,2 тыс. человек. </w:t>
          </w:r>
        </w:p>
        <w:p w:rsidR="008E239A" w:rsidRDefault="00D61E62">
          <w:pPr>
            <w:pBdr>
              <w:bottom w:val="single" w:sz="4" w:space="31" w:color="FFFFFF"/>
            </w:pBdr>
            <w:shd w:val="clear" w:color="auto" w:fill="FFFFFF"/>
            <w:tabs>
              <w:tab w:val="left" w:pos="0"/>
              <w:tab w:val="left" w:pos="3276"/>
              <w:tab w:val="left" w:pos="3960"/>
            </w:tabs>
            <w:suppressAutoHyphens/>
            <w:ind w:firstLine="709"/>
            <w:jc w:val="both"/>
            <w:textAlignment w:val="baseline"/>
          </w:pPr>
          <w:r>
            <w:rPr>
              <w:bCs/>
              <w:color w:val="000000"/>
              <w:lang w:eastAsia="zh-CN"/>
            </w:rPr>
            <w:t xml:space="preserve">В 2023 году </w:t>
          </w:r>
          <w:r>
            <w:rPr>
              <w:bCs/>
              <w:iCs/>
              <w:color w:val="000000"/>
              <w:lang w:eastAsia="zh-CN"/>
            </w:rPr>
            <w:t>микрокредитн</w:t>
          </w:r>
          <w:r>
            <w:rPr>
              <w:bCs/>
              <w:iCs/>
              <w:color w:val="000000"/>
            </w:rPr>
            <w:t>ой</w:t>
          </w:r>
          <w:r>
            <w:rPr>
              <w:bCs/>
              <w:iCs/>
              <w:color w:val="000000"/>
              <w:lang w:eastAsia="zh-CN"/>
            </w:rPr>
            <w:t xml:space="preserve"> компани</w:t>
          </w:r>
          <w:r>
            <w:rPr>
              <w:bCs/>
              <w:iCs/>
              <w:color w:val="000000"/>
            </w:rPr>
            <w:t>ей</w:t>
          </w:r>
          <w:r>
            <w:rPr>
              <w:bCs/>
              <w:iCs/>
              <w:color w:val="000000"/>
              <w:lang w:eastAsia="zh-CN"/>
            </w:rPr>
            <w:t xml:space="preserve"> «Фонд развития малого и среднего предпринимательства Брянской области» </w:t>
          </w:r>
          <w:r>
            <w:rPr>
              <w:bCs/>
              <w:color w:val="000000"/>
              <w:lang w:eastAsia="zh-CN"/>
            </w:rPr>
            <w:t xml:space="preserve">самозанятым гражданам предоставлено </w:t>
          </w:r>
          <w:r>
            <w:rPr>
              <w:bCs/>
              <w:iCs/>
              <w:color w:val="000000"/>
              <w:lang w:eastAsia="hi-IN"/>
            </w:rPr>
            <w:t>семь</w:t>
          </w:r>
          <w:r>
            <w:rPr>
              <w:bCs/>
              <w:iCs/>
              <w:color w:val="000000"/>
              <w:lang w:eastAsia="zh-CN"/>
            </w:rPr>
            <w:t xml:space="preserve"> микрозаймов на общую сумму </w:t>
          </w:r>
          <w:r>
            <w:rPr>
              <w:bCs/>
              <w:iCs/>
              <w:color w:val="000000"/>
              <w:lang w:eastAsia="hi-IN"/>
            </w:rPr>
            <w:t>4,1</w:t>
          </w:r>
          <w:r>
            <w:rPr>
              <w:bCs/>
              <w:iCs/>
              <w:color w:val="000000"/>
              <w:lang w:eastAsia="zh-CN"/>
            </w:rPr>
            <w:t xml:space="preserve"> млн. рублей. </w:t>
          </w:r>
        </w:p>
        <w:p w:rsidR="008E239A" w:rsidRDefault="00D61E62">
          <w:pPr>
            <w:pBdr>
              <w:bottom w:val="single" w:sz="4" w:space="31" w:color="FFFFFF"/>
            </w:pBdr>
            <w:shd w:val="clear" w:color="auto" w:fill="FFFFFF"/>
            <w:tabs>
              <w:tab w:val="left" w:pos="0"/>
              <w:tab w:val="left" w:pos="3276"/>
              <w:tab w:val="left" w:pos="3960"/>
            </w:tabs>
            <w:ind w:firstLine="709"/>
            <w:jc w:val="both"/>
          </w:pPr>
          <w:r>
            <w:rPr>
              <w:color w:val="000000"/>
              <w:lang w:eastAsia="zh-CN"/>
            </w:rPr>
            <w:t>В рамках регионального проекта «Создание условий для легкого старта и комфортного ведения бизнеса»</w:t>
          </w:r>
          <w:r>
            <w:rPr>
              <w:color w:val="000000"/>
              <w:lang w:eastAsia="zh-CN"/>
            </w:rPr>
            <w:t xml:space="preserve"> </w:t>
          </w:r>
          <w:r>
            <w:rPr>
              <w:color w:val="000000"/>
            </w:rPr>
            <w:t>реализуются мероприятия для физических лиц, планирующих начать предпринимательскую деятельность, и начинающих пре</w:t>
          </w:r>
          <w:r>
            <w:rPr>
              <w:color w:val="000000"/>
            </w:rPr>
            <w:t>д</w:t>
          </w:r>
          <w:r>
            <w:rPr>
              <w:color w:val="000000"/>
            </w:rPr>
            <w:t xml:space="preserve">принимателей (вновь зарегистрированных и действующих менее одного года), в целях их становления и развития. </w:t>
          </w:r>
        </w:p>
        <w:p w:rsidR="008E239A" w:rsidRDefault="00D61E62">
          <w:pPr>
            <w:pBdr>
              <w:bottom w:val="single" w:sz="4" w:space="31" w:color="FFFFFF"/>
            </w:pBdr>
            <w:shd w:val="clear" w:color="auto" w:fill="FFFFFF"/>
            <w:tabs>
              <w:tab w:val="left" w:pos="0"/>
              <w:tab w:val="left" w:pos="3276"/>
              <w:tab w:val="left" w:pos="3960"/>
            </w:tabs>
            <w:suppressAutoHyphens/>
            <w:ind w:firstLine="709"/>
            <w:jc w:val="both"/>
          </w:pPr>
          <w:r>
            <w:rPr>
              <w:color w:val="000000"/>
              <w:lang w:eastAsia="zh-CN"/>
            </w:rPr>
            <w:t>З</w:t>
          </w:r>
          <w:r>
            <w:t>аконом Брянской области от 4 де</w:t>
          </w:r>
          <w:r>
            <w:t>кабря 2023 года № 93-З «О внесении изменения в статью 4 Закона Брянской области «О применении индивидуальными предпринимателями патентной системы налогообложения на территории Брянской области» продлено действие нулевой налоговой ставки для налогоплательщи</w:t>
          </w:r>
          <w:r>
            <w:t xml:space="preserve">ков - индивидуальных предпринимателей, осуществляющих предпринимательскую деятельность в производственной, социальной и (или) научной сферах, а также в сфере бытовых услуг населению до 1 января 2025 года. </w:t>
          </w:r>
          <w:r>
            <w:rPr>
              <w:color w:val="000000"/>
              <w:lang w:eastAsia="zh-CN"/>
            </w:rPr>
            <w:t xml:space="preserve">По состоянию на </w:t>
          </w:r>
          <w:r>
            <w:rPr>
              <w:color w:val="000000"/>
              <w:lang w:eastAsia="hi-IN"/>
            </w:rPr>
            <w:t xml:space="preserve">31 декабря </w:t>
          </w:r>
          <w:r>
            <w:rPr>
              <w:color w:val="000000"/>
              <w:lang w:eastAsia="zh-CN"/>
            </w:rPr>
            <w:t xml:space="preserve">2023 года на территории Брянской области </w:t>
          </w:r>
          <w:r>
            <w:rPr>
              <w:color w:val="000000"/>
              <w:lang w:eastAsia="hi-IN"/>
            </w:rPr>
            <w:t xml:space="preserve">9,9 тыс. </w:t>
          </w:r>
          <w:r>
            <w:rPr>
              <w:color w:val="000000"/>
              <w:lang w:eastAsia="zh-CN"/>
            </w:rPr>
            <w:t>индивидуальны</w:t>
          </w:r>
          <w:r>
            <w:rPr>
              <w:color w:val="000000"/>
              <w:lang w:eastAsia="hi-IN"/>
            </w:rPr>
            <w:t>х</w:t>
          </w:r>
          <w:r>
            <w:rPr>
              <w:color w:val="000000"/>
              <w:lang w:eastAsia="zh-CN"/>
            </w:rPr>
            <w:t xml:space="preserve"> предпринимател</w:t>
          </w:r>
          <w:r>
            <w:rPr>
              <w:color w:val="000000"/>
              <w:lang w:eastAsia="hi-IN"/>
            </w:rPr>
            <w:t>ей</w:t>
          </w:r>
          <w:r>
            <w:rPr>
              <w:color w:val="000000"/>
              <w:lang w:eastAsia="zh-CN"/>
            </w:rPr>
            <w:t xml:space="preserve"> применя</w:t>
          </w:r>
          <w:r>
            <w:rPr>
              <w:color w:val="000000"/>
              <w:lang w:eastAsia="hi-IN"/>
            </w:rPr>
            <w:t>ю</w:t>
          </w:r>
          <w:r>
            <w:rPr>
              <w:color w:val="000000"/>
              <w:lang w:eastAsia="zh-CN"/>
            </w:rPr>
            <w:t>т патентную систему налогообложения.</w:t>
          </w:r>
        </w:p>
        <w:p w:rsidR="008E239A" w:rsidRDefault="00D61E62">
          <w:pPr>
            <w:pBdr>
              <w:bottom w:val="single" w:sz="4" w:space="0" w:color="FFFFFF"/>
            </w:pBdr>
            <w:shd w:val="clear" w:color="auto" w:fill="FFFFFF"/>
            <w:tabs>
              <w:tab w:val="left" w:pos="0"/>
              <w:tab w:val="left" w:pos="3276"/>
              <w:tab w:val="left" w:pos="3960"/>
            </w:tabs>
            <w:suppressAutoHyphens/>
            <w:ind w:firstLine="709"/>
            <w:jc w:val="both"/>
            <w:textAlignment w:val="baseline"/>
          </w:pPr>
          <w:r>
            <w:rPr>
              <w:color w:val="000000"/>
            </w:rPr>
            <w:t>В</w:t>
          </w:r>
          <w:r>
            <w:rPr>
              <w:color w:val="000000"/>
              <w:lang w:eastAsia="zh-CN"/>
            </w:rPr>
            <w:t xml:space="preserve"> целях поддержки организаций, осуществляющих экономическую деятельность на приграничной с Украиной территории Брянской области, </w:t>
          </w:r>
          <w:r>
            <w:rPr>
              <w:color w:val="000000"/>
              <w:lang w:eastAsia="zh-CN"/>
            </w:rPr>
            <w:t xml:space="preserve">в статью 2 Закона Брянской области от 27 ноября 2003 года № 79-З «О налоге на имущество организаций», внесены изменения, устанавливающие налоговую льготу для организаций, имеющих объекты налогообложения, находящиеся на приграничной </w:t>
          </w:r>
          <w:r>
            <w:rPr>
              <w:color w:val="000000"/>
              <w:lang w:eastAsia="zh-CN"/>
            </w:rPr>
            <w:lastRenderedPageBreak/>
            <w:t>с Украиной территории Бр</w:t>
          </w:r>
          <w:r>
            <w:rPr>
              <w:color w:val="000000"/>
              <w:lang w:eastAsia="zh-CN"/>
            </w:rPr>
            <w:t xml:space="preserve">янской области. Сумма налога, начисленного за 2023 год, уменьшена на 75 процентов. </w:t>
          </w:r>
        </w:p>
        <w:p w:rsidR="008E239A" w:rsidRDefault="00D61E62">
          <w:pPr>
            <w:pBdr>
              <w:bottom w:val="single" w:sz="4" w:space="0" w:color="FFFFFF"/>
            </w:pBdr>
            <w:shd w:val="clear" w:color="auto" w:fill="FFFFFF"/>
            <w:tabs>
              <w:tab w:val="left" w:pos="0"/>
              <w:tab w:val="left" w:pos="3276"/>
              <w:tab w:val="left" w:pos="3960"/>
            </w:tabs>
            <w:suppressAutoHyphens/>
            <w:ind w:firstLine="709"/>
            <w:jc w:val="both"/>
            <w:textAlignment w:val="baseline"/>
          </w:pPr>
          <w:r>
            <w:rPr>
              <w:rFonts w:eastAsia="Calibri"/>
              <w:color w:val="000000"/>
              <w:lang w:eastAsia="zh-CN"/>
            </w:rPr>
            <w:t>В рамках реализации регионального проекта «</w:t>
          </w:r>
          <w:bookmarkStart w:id="0" w:name="_Hlk4640951511"/>
          <w:r>
            <w:rPr>
              <w:rFonts w:eastAsia="Calibri"/>
              <w:color w:val="000000"/>
              <w:lang w:eastAsia="zh-CN"/>
            </w:rPr>
            <w:t>Создание условий для легкого старта и комфортного ведения бизнеса»</w:t>
          </w:r>
          <w:bookmarkEnd w:id="0"/>
          <w:r>
            <w:rPr>
              <w:rFonts w:eastAsia="Calibri"/>
              <w:color w:val="000000"/>
              <w:lang w:eastAsia="zh-CN"/>
            </w:rPr>
            <w:t xml:space="preserve"> </w:t>
          </w:r>
          <w:r>
            <w:rPr>
              <w:bCs/>
              <w:iCs/>
              <w:color w:val="000000"/>
              <w:lang w:eastAsia="hi-IN"/>
            </w:rPr>
            <w:t>предусмотрена</w:t>
          </w:r>
          <w:r>
            <w:rPr>
              <w:bCs/>
              <w:iCs/>
              <w:color w:val="000000"/>
            </w:rPr>
            <w:t xml:space="preserve"> прям</w:t>
          </w:r>
          <w:r>
            <w:rPr>
              <w:bCs/>
              <w:iCs/>
              <w:color w:val="000000"/>
              <w:lang w:eastAsia="hi-IN"/>
            </w:rPr>
            <w:t>ая</w:t>
          </w:r>
          <w:r>
            <w:rPr>
              <w:bCs/>
              <w:iCs/>
              <w:color w:val="000000"/>
            </w:rPr>
            <w:t xml:space="preserve"> финансов</w:t>
          </w:r>
          <w:r>
            <w:rPr>
              <w:bCs/>
              <w:iCs/>
              <w:color w:val="000000"/>
              <w:lang w:eastAsia="hi-IN"/>
            </w:rPr>
            <w:t>ая</w:t>
          </w:r>
          <w:r>
            <w:rPr>
              <w:bCs/>
              <w:iCs/>
              <w:color w:val="000000"/>
            </w:rPr>
            <w:t xml:space="preserve"> поддержк</w:t>
          </w:r>
          <w:r>
            <w:rPr>
              <w:bCs/>
              <w:iCs/>
              <w:color w:val="000000"/>
              <w:lang w:eastAsia="hi-IN"/>
            </w:rPr>
            <w:t>а</w:t>
          </w:r>
          <w:r>
            <w:rPr>
              <w:bCs/>
              <w:iCs/>
              <w:color w:val="000000"/>
            </w:rPr>
            <w:t xml:space="preserve"> в виде грантов, пред</w:t>
          </w:r>
          <w:r>
            <w:rPr>
              <w:bCs/>
              <w:iCs/>
              <w:color w:val="000000"/>
            </w:rPr>
            <w:t>оставляемых</w:t>
          </w:r>
          <w:r>
            <w:rPr>
              <w:color w:val="000000"/>
            </w:rPr>
            <w:t xml:space="preserve"> на развитие своего дела, в размере до 500 000 рублей.</w:t>
          </w:r>
        </w:p>
        <w:p w:rsidR="008E239A" w:rsidRDefault="00D61E62">
          <w:pPr>
            <w:pBdr>
              <w:bottom w:val="single" w:sz="4" w:space="31" w:color="FFFFFF"/>
            </w:pBdr>
            <w:shd w:val="clear" w:color="auto" w:fill="FFFFFF"/>
            <w:tabs>
              <w:tab w:val="left" w:pos="0"/>
              <w:tab w:val="left" w:pos="3276"/>
              <w:tab w:val="left" w:pos="3960"/>
            </w:tabs>
            <w:suppressAutoHyphens/>
            <w:ind w:firstLine="709"/>
            <w:jc w:val="both"/>
            <w:textAlignment w:val="baseline"/>
          </w:pPr>
          <w:r>
            <w:rPr>
              <w:iCs/>
              <w:color w:val="000000"/>
              <w:lang w:eastAsia="ar-SA"/>
            </w:rPr>
            <w:t xml:space="preserve">В 2023 году гранты </w:t>
          </w:r>
          <w:r>
            <w:rPr>
              <w:color w:val="000000"/>
              <w:lang w:eastAsia="zh-CN"/>
            </w:rPr>
            <w:t xml:space="preserve">на сумму 37,969 млн. рублей </w:t>
          </w:r>
          <w:r>
            <w:rPr>
              <w:iCs/>
              <w:color w:val="000000"/>
              <w:lang w:eastAsia="ar-SA"/>
            </w:rPr>
            <w:t xml:space="preserve">предоставлены 28 социальным предпринимателям и </w:t>
          </w:r>
          <w:r>
            <w:rPr>
              <w:color w:val="000000"/>
              <w:lang w:eastAsia="zh-CN"/>
            </w:rPr>
            <w:t xml:space="preserve">50 субъектам малого и среднего предпринимательства, созданными физическими лицами в возрасте до 25 лет включительно. </w:t>
          </w:r>
        </w:p>
        <w:p w:rsidR="008E239A" w:rsidRDefault="00D61E62">
          <w:pPr>
            <w:pBdr>
              <w:bottom w:val="single" w:sz="4" w:space="31" w:color="FFFFFF"/>
            </w:pBdr>
            <w:shd w:val="clear" w:color="auto" w:fill="FFFFFF"/>
            <w:tabs>
              <w:tab w:val="left" w:pos="0"/>
              <w:tab w:val="left" w:pos="3276"/>
              <w:tab w:val="left" w:pos="3960"/>
            </w:tabs>
            <w:suppressAutoHyphens/>
            <w:ind w:firstLine="709"/>
            <w:jc w:val="both"/>
            <w:textAlignment w:val="baseline"/>
          </w:pPr>
          <w:r>
            <w:rPr>
              <w:iCs/>
              <w:color w:val="000000"/>
              <w:lang w:eastAsia="zh-CN"/>
            </w:rPr>
            <w:t>В</w:t>
          </w:r>
          <w:r>
            <w:rPr>
              <w:color w:val="000000"/>
              <w:lang w:eastAsia="zh-CN"/>
            </w:rPr>
            <w:t xml:space="preserve"> рамках регионального проекта «Акселерация субъектов малого и среднего предпринимательства»</w:t>
          </w:r>
          <w:r>
            <w:rPr>
              <w:iCs/>
              <w:color w:val="000000"/>
              <w:lang w:eastAsia="zh-CN"/>
            </w:rPr>
            <w:t xml:space="preserve"> </w:t>
          </w:r>
          <w:r>
            <w:rPr>
              <w:color w:val="000000"/>
              <w:lang w:eastAsia="zh-CN"/>
            </w:rPr>
            <w:t>финансовая поддержка в форме предоставления м</w:t>
          </w:r>
          <w:r>
            <w:rPr>
              <w:color w:val="000000"/>
              <w:lang w:eastAsia="zh-CN"/>
            </w:rPr>
            <w:t xml:space="preserve">икрозаймов и гарантий </w:t>
          </w:r>
          <w:r>
            <w:rPr>
              <w:iCs/>
              <w:color w:val="000000"/>
              <w:lang w:eastAsia="zh-CN"/>
            </w:rPr>
            <w:t>о</w:t>
          </w:r>
          <w:r>
            <w:rPr>
              <w:color w:val="000000"/>
              <w:lang w:eastAsia="zh-CN"/>
            </w:rPr>
            <w:t xml:space="preserve">казывается  </w:t>
          </w:r>
          <w:r>
            <w:rPr>
              <w:iCs/>
              <w:color w:val="000000"/>
              <w:lang w:eastAsia="zh-CN"/>
            </w:rPr>
            <w:t>микрокредитной компанией «Фонд развития малого и среднего предпринимательства Брянской области», Брянским микрофинансовым фондом «Новый мир», Фондом поддержки малого и среднего предпринимательства «Брянская Микрокредитная</w:t>
          </w:r>
          <w:r>
            <w:rPr>
              <w:iCs/>
              <w:color w:val="000000"/>
              <w:lang w:eastAsia="zh-CN"/>
            </w:rPr>
            <w:t xml:space="preserve"> Компания» и </w:t>
          </w:r>
          <w:r>
            <w:rPr>
              <w:iCs/>
              <w:color w:val="000000"/>
            </w:rPr>
            <w:t>Фондом поддержки малого и среднего предпринимательства «Брянский Гарантийный Фонд»</w:t>
          </w:r>
          <w:r>
            <w:rPr>
              <w:iCs/>
              <w:color w:val="000000"/>
              <w:lang w:eastAsia="zh-CN"/>
            </w:rPr>
            <w:t xml:space="preserve">. </w:t>
          </w:r>
        </w:p>
        <w:p w:rsidR="008E239A" w:rsidRDefault="00D61E62">
          <w:pPr>
            <w:pBdr>
              <w:bottom w:val="single" w:sz="4" w:space="31" w:color="FFFFFF"/>
            </w:pBdr>
            <w:shd w:val="clear" w:color="auto" w:fill="FFFFFF"/>
            <w:tabs>
              <w:tab w:val="left" w:pos="0"/>
              <w:tab w:val="left" w:pos="3276"/>
              <w:tab w:val="left" w:pos="3960"/>
            </w:tabs>
            <w:suppressAutoHyphens/>
            <w:ind w:firstLine="709"/>
            <w:jc w:val="both"/>
            <w:textAlignment w:val="baseline"/>
          </w:pPr>
          <w:r>
            <w:rPr>
              <w:iCs/>
              <w:color w:val="000000"/>
            </w:rPr>
            <w:t xml:space="preserve">По состоянию на 31 декабря 2023 года микрофинансовыми организациями Брянской области субъектам </w:t>
          </w:r>
          <w:r>
            <w:rPr>
              <w:color w:val="000000"/>
              <w:lang w:eastAsia="zh-CN"/>
            </w:rPr>
            <w:t xml:space="preserve">малого и среднего бизнеса </w:t>
          </w:r>
          <w:r>
            <w:rPr>
              <w:iCs/>
              <w:color w:val="000000"/>
            </w:rPr>
            <w:t xml:space="preserve">предоставлено 660 действующих </w:t>
          </w:r>
          <w:r>
            <w:rPr>
              <w:iCs/>
              <w:color w:val="000000"/>
            </w:rPr>
            <w:t>микрозаймов. Брянским Гарантийным Фондом предоставлено 18 поручительств по кредитным договорам предпринимателей на сумму 58,9 млн. рублей, это позволило им привлечь 176,6 млн. рублей кредитных ресурсов.</w:t>
          </w:r>
        </w:p>
        <w:p w:rsidR="008E239A" w:rsidRDefault="00D61E62">
          <w:pPr>
            <w:pBdr>
              <w:bottom w:val="single" w:sz="4" w:space="0" w:color="FFFFFF"/>
            </w:pBdr>
            <w:shd w:val="clear" w:color="auto" w:fill="FFFFFF"/>
            <w:tabs>
              <w:tab w:val="left" w:pos="0"/>
              <w:tab w:val="left" w:pos="3276"/>
              <w:tab w:val="left" w:pos="3960"/>
            </w:tabs>
            <w:suppressAutoHyphens/>
            <w:ind w:firstLine="709"/>
            <w:jc w:val="both"/>
            <w:textAlignment w:val="baseline"/>
          </w:pPr>
          <w:r>
            <w:rPr>
              <w:color w:val="000000"/>
            </w:rPr>
            <w:t>Кроме того, в рамках регионального проекта 36 субъект</w:t>
          </w:r>
          <w:r>
            <w:rPr>
              <w:color w:val="000000"/>
            </w:rPr>
            <w:t>ов малого и среднего предпринимательства - экспортеров заключили экспортные контракты по результатам услуг, оказанных Центром экспорта Брянской области. Объем экспорта субъектов малого и среднего бизнеса, получивших поддержку Центра, составил 12,3 млн. дол</w:t>
          </w:r>
          <w:r>
            <w:rPr>
              <w:color w:val="000000"/>
            </w:rPr>
            <w:t>ларов.</w:t>
          </w:r>
        </w:p>
        <w:p w:rsidR="008E239A" w:rsidRDefault="008E239A">
          <w:pPr>
            <w:pBdr>
              <w:bottom w:val="single" w:sz="4" w:space="0" w:color="FFFFFF"/>
            </w:pBdr>
            <w:shd w:val="clear" w:color="auto" w:fill="FFFFFF"/>
            <w:tabs>
              <w:tab w:val="left" w:pos="0"/>
              <w:tab w:val="left" w:pos="3276"/>
              <w:tab w:val="left" w:pos="3960"/>
            </w:tabs>
            <w:suppressAutoHyphens/>
            <w:ind w:firstLine="709"/>
            <w:jc w:val="both"/>
            <w:textAlignment w:val="baseline"/>
            <w:rPr>
              <w:color w:val="000000"/>
            </w:rPr>
          </w:pPr>
        </w:p>
        <w:p w:rsidR="008E239A" w:rsidRDefault="00D61E62">
          <w:pPr>
            <w:suppressAutoHyphens/>
            <w:ind w:firstLine="652"/>
            <w:jc w:val="both"/>
            <w:outlineLvl w:val="0"/>
          </w:pPr>
          <w:r>
            <w:rPr>
              <w:b/>
              <w:bCs/>
            </w:rPr>
            <w:t>1. Число субъектов малого и среднего предпринимательства на 10 тыс. человек населения (единиц)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Значение показателя </w:t>
          </w:r>
          <w:r>
            <w:rPr>
              <w:color w:val="000000"/>
            </w:rPr>
            <w:t>в среднем</w:t>
          </w:r>
          <w:r>
            <w:t xml:space="preserve"> по Брянской области в 2023 году </w:t>
          </w:r>
          <w:r>
            <w:rPr>
              <w:color w:val="000000"/>
            </w:rPr>
            <w:t>составило 284,52</w:t>
          </w:r>
          <w:r>
            <w:t xml:space="preserve"> ед. (в 2022 году — </w:t>
          </w:r>
          <w:r>
            <w:rPr>
              <w:color w:val="000000"/>
            </w:rPr>
            <w:t>277,3</w:t>
          </w:r>
          <w:r>
            <w:t xml:space="preserve"> ед.).</w:t>
          </w:r>
        </w:p>
        <w:p w:rsidR="008E239A" w:rsidRDefault="00D61E62">
          <w:pPr>
            <w:widowControl w:val="0"/>
            <w:pBdr>
              <w:bottom w:val="single" w:sz="6" w:space="31" w:color="FFFFFF"/>
            </w:pBdr>
            <w:suppressAutoHyphens/>
            <w:ind w:firstLine="709"/>
            <w:jc w:val="both"/>
          </w:pPr>
          <w:r>
            <w:rPr>
              <w:lang w:eastAsia="en-US"/>
            </w:rPr>
            <w:t xml:space="preserve">Наибольшее </w:t>
          </w:r>
          <w:r>
            <w:t xml:space="preserve">число субъектов малого и </w:t>
          </w:r>
          <w:r>
            <w:t>среднего предпринимательства в расчете на 10 тысяч человек населения</w:t>
          </w:r>
          <w:r>
            <w:rPr>
              <w:lang w:eastAsia="en-US"/>
            </w:rPr>
            <w:t xml:space="preserve"> в 2023 году отмечалось в группе городских округов — в г. Брянске (</w:t>
          </w:r>
          <w:r>
            <w:rPr>
              <w:color w:val="000000"/>
            </w:rPr>
            <w:t>535,7 ед</w:t>
          </w:r>
          <w:r>
            <w:rPr>
              <w:lang w:eastAsia="en-US"/>
            </w:rPr>
            <w:t xml:space="preserve">.), г. Клинцы (322,22 ед.), г. Сельцо (289 ед.); в группе муниципальных районов — в </w:t>
          </w:r>
          <w:r>
            <w:rPr>
              <w:color w:val="000000"/>
              <w:lang w:eastAsia="en-US"/>
            </w:rPr>
            <w:t xml:space="preserve">Брянском (486 ед.), </w:t>
          </w:r>
          <w:r>
            <w:rPr>
              <w:color w:val="000000"/>
            </w:rPr>
            <w:t>Карачевск</w:t>
          </w:r>
          <w:r>
            <w:rPr>
              <w:color w:val="000000"/>
            </w:rPr>
            <w:t xml:space="preserve">ий </w:t>
          </w:r>
          <w:r>
            <w:rPr>
              <w:lang w:eastAsia="en-US"/>
            </w:rPr>
            <w:t>(</w:t>
          </w:r>
          <w:r>
            <w:rPr>
              <w:color w:val="000000"/>
            </w:rPr>
            <w:t>322,3</w:t>
          </w:r>
          <w:r>
            <w:rPr>
              <w:lang w:eastAsia="en-US"/>
            </w:rPr>
            <w:t xml:space="preserve"> ед.), Навлинском (313,8 ед.) районах.</w:t>
          </w:r>
        </w:p>
        <w:p w:rsidR="008E239A" w:rsidRDefault="00D61E62">
          <w:pPr>
            <w:widowControl w:val="0"/>
            <w:pBdr>
              <w:bottom w:val="single" w:sz="6" w:space="31" w:color="FFFFFF"/>
            </w:pBdr>
            <w:suppressAutoHyphens/>
            <w:ind w:firstLine="709"/>
            <w:jc w:val="both"/>
          </w:pPr>
          <w:r>
            <w:rPr>
              <w:lang w:eastAsia="en-US"/>
            </w:rPr>
            <w:t xml:space="preserve">Наименьшее значение данного показателя в 2023 году наблюдалось в группе городских округов — в г. Фокино (252 ед.), г. Новозыбкове (282,4 ед.); в группе муниципальных районов — в </w:t>
          </w:r>
          <w:r>
            <w:rPr>
              <w:color w:val="000000"/>
              <w:lang w:eastAsia="en-US"/>
            </w:rPr>
            <w:t>Гордеевском (181,5</w:t>
          </w:r>
          <w:r>
            <w:rPr>
              <w:lang w:eastAsia="en-US"/>
            </w:rPr>
            <w:t xml:space="preserve"> ед.), Клинц</w:t>
          </w:r>
          <w:r>
            <w:rPr>
              <w:lang w:eastAsia="en-US"/>
            </w:rPr>
            <w:t xml:space="preserve">овском (218,02 ед.), </w:t>
          </w:r>
          <w:r>
            <w:rPr>
              <w:lang w:eastAsia="en-US"/>
            </w:rPr>
            <w:lastRenderedPageBreak/>
            <w:t>Трубчевском (219,2 ед.).</w:t>
          </w:r>
        </w:p>
        <w:p w:rsidR="008E239A" w:rsidRDefault="00D61E62">
          <w:pPr>
            <w:widowControl w:val="0"/>
            <w:pBdr>
              <w:bottom w:val="single" w:sz="6" w:space="31" w:color="FFFFFF"/>
            </w:pBdr>
            <w:suppressAutoHyphens/>
            <w:ind w:firstLine="709"/>
            <w:jc w:val="both"/>
          </w:pPr>
          <w:r>
            <w:t xml:space="preserve">В городском округе г. Брянск значение показателя превысило среднее значение по городским округам в 1,6 раза и среднеобластное значение - в </w:t>
          </w:r>
          <w:r>
            <w:rPr>
              <w:color w:val="000000"/>
            </w:rPr>
            <w:t>1,9</w:t>
          </w:r>
          <w:r>
            <w:t xml:space="preserve"> раза. Отрицательная динамика наблюдалась в городском округе г. Клин</w:t>
          </w:r>
          <w:r>
            <w:t>цы.</w:t>
          </w:r>
        </w:p>
        <w:p w:rsidR="008E239A" w:rsidRDefault="00D61E62">
          <w:pPr>
            <w:widowControl w:val="0"/>
            <w:pBdr>
              <w:bottom w:val="single" w:sz="6" w:space="0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>В группе</w:t>
          </w:r>
          <w:r>
            <w:t xml:space="preserve"> муниципальных районов </w:t>
          </w:r>
          <w:r>
            <w:rPr>
              <w:color w:val="000000"/>
            </w:rPr>
            <w:t>максимальное</w:t>
          </w:r>
          <w:r>
            <w:t xml:space="preserve"> значение показателя наблюдалось в Брянском муниципальном районе (</w:t>
          </w:r>
          <w:r>
            <w:rPr>
              <w:color w:val="000000"/>
            </w:rPr>
            <w:t>486</w:t>
          </w:r>
          <w:r>
            <w:t xml:space="preserve"> ед.), минимальное значение показателя - в </w:t>
          </w:r>
          <w:r>
            <w:rPr>
              <w:color w:val="000000"/>
            </w:rPr>
            <w:t>Гордеевском</w:t>
          </w:r>
          <w:r>
            <w:t xml:space="preserve"> муниципальном районе (</w:t>
          </w:r>
          <w:r>
            <w:rPr>
              <w:color w:val="000000"/>
            </w:rPr>
            <w:t xml:space="preserve">181,5 </w:t>
          </w:r>
          <w:r>
            <w:t xml:space="preserve">ед.). </w:t>
          </w:r>
        </w:p>
        <w:p w:rsidR="008E239A" w:rsidRDefault="00D61E62">
          <w:pPr>
            <w:widowControl w:val="0"/>
            <w:pBdr>
              <w:bottom w:val="single" w:sz="6" w:space="0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>Увеличение</w:t>
          </w:r>
          <w:r>
            <w:t xml:space="preserve"> показателя произошло </w:t>
          </w:r>
          <w:r>
            <w:rPr>
              <w:color w:val="000000"/>
            </w:rPr>
            <w:t>в 23</w:t>
          </w:r>
          <w:r>
            <w:t xml:space="preserve"> муниципальных</w:t>
          </w:r>
          <w:r>
            <w:t xml:space="preserve"> районах.</w:t>
          </w:r>
        </w:p>
        <w:p w:rsidR="008E239A" w:rsidRDefault="00D61E62">
          <w:pPr>
            <w:widowControl w:val="0"/>
            <w:pBdr>
              <w:bottom w:val="single" w:sz="6" w:space="0" w:color="FFFFFF"/>
            </w:pBdr>
            <w:suppressAutoHyphens/>
            <w:ind w:firstLine="709"/>
            <w:jc w:val="both"/>
          </w:pPr>
          <w:r>
            <w:t>Отрицательная динамика наблюдалась в Клинцовском, Красногорском, Севском муниципальных районах.</w:t>
          </w:r>
        </w:p>
        <w:p w:rsidR="008E239A" w:rsidRDefault="00D61E62">
          <w:pPr>
            <w:suppressAutoHyphens/>
            <w:ind w:firstLine="709"/>
            <w:jc w:val="both"/>
          </w:pPr>
          <w:r>
            <w:t>Необходимо отметить, что в 2023 году в 10 муниципальных образованиях Брянской области (Брасовском, Брянском, Выгоничском, Дятьковском, Жирятинском, Ка</w:t>
          </w:r>
          <w:r>
            <w:t xml:space="preserve">рачевском, Комаричском, Навлинском, Почепском, Суражском) сохранилась тенденция, когда значение показателя по числу субъектов МСП в расчете на 10 тыс. человек населения выше среднеобластного уровня данного показателя. </w:t>
          </w:r>
        </w:p>
        <w:p w:rsidR="008E239A" w:rsidRDefault="008E239A">
          <w:pPr>
            <w:pStyle w:val="aff7"/>
            <w:suppressAutoHyphens/>
            <w:spacing w:after="0" w:line="240" w:lineRule="auto"/>
            <w:ind w:left="1364"/>
            <w:jc w:val="both"/>
            <w:rPr>
              <w:rFonts w:ascii="Times New Roman" w:eastAsia="Times New Roman" w:hAnsi="Times New Roman"/>
              <w:b/>
              <w:bCs/>
              <w:sz w:val="28"/>
              <w:szCs w:val="28"/>
              <w:lang w:eastAsia="ru-RU"/>
            </w:rPr>
          </w:pPr>
        </w:p>
        <w:p w:rsidR="008E239A" w:rsidRDefault="00D61E62">
          <w:pPr>
            <w:pStyle w:val="aff7"/>
            <w:suppressAutoHyphens/>
            <w:spacing w:after="0" w:line="240" w:lineRule="auto"/>
            <w:ind w:left="0"/>
            <w:jc w:val="both"/>
          </w:pPr>
          <w:r>
            <w:rPr>
              <w:rFonts w:ascii="Times New Roman" w:eastAsia="Times New Roman" w:hAnsi="Times New Roman"/>
              <w:b/>
              <w:bCs/>
              <w:sz w:val="28"/>
              <w:szCs w:val="28"/>
              <w:lang w:eastAsia="ru-RU"/>
            </w:rPr>
            <w:tab/>
            <w:t>2. Доля среднесписочной численности</w:t>
          </w:r>
          <w:r>
            <w:rPr>
              <w:rFonts w:ascii="Times New Roman" w:eastAsia="Times New Roman" w:hAnsi="Times New Roman"/>
              <w:b/>
              <w:bCs/>
              <w:sz w:val="28"/>
              <w:szCs w:val="28"/>
              <w:lang w:eastAsia="ru-RU"/>
            </w:rPr>
            <w:t xml:space="preserve"> работников (без внешних совместителей) малых и средних предприятий в среднесписочной численности работников (без внешних совместителей) всех предприятий и организаций (процентов)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Значение показателя в 2023 году по Брянской области в целом составило </w:t>
          </w:r>
          <w:r w:rsidRPr="00AD6A4D">
            <w:rPr>
              <w:color w:val="000000"/>
            </w:rPr>
            <w:t>27,</w:t>
          </w:r>
          <w:r>
            <w:rPr>
              <w:color w:val="000000"/>
            </w:rPr>
            <w:t xml:space="preserve">06% </w:t>
          </w:r>
          <w:r>
            <w:t>и снизилась по сравнению с 202</w:t>
          </w:r>
          <w:r>
            <w:t>2</w:t>
          </w:r>
          <w:r>
            <w:t xml:space="preserve"> годом на </w:t>
          </w:r>
          <w:r>
            <w:rPr>
              <w:color w:val="000000"/>
            </w:rPr>
            <w:t>0,22</w:t>
          </w:r>
          <w:r>
            <w:t xml:space="preserve"> </w:t>
          </w:r>
          <w:r>
            <w:rPr>
              <w:color w:val="000000"/>
            </w:rPr>
            <w:t>п.п</w:t>
          </w:r>
          <w:r>
            <w:t xml:space="preserve">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lang w:eastAsia="en-US"/>
            </w:rPr>
            <w:t xml:space="preserve">Наибольшая </w:t>
          </w:r>
          <w:r>
            <w:t>доля среднесписочной численности работников (без внешних совместителей) малых и средних предприятий в среднесписочной численности работников (без внешних совместителей) всех предприятий и о</w:t>
          </w:r>
          <w:r>
            <w:t>рганизаций</w:t>
          </w:r>
          <w:r>
            <w:rPr>
              <w:i/>
            </w:rPr>
            <w:t xml:space="preserve"> </w:t>
          </w:r>
          <w:r>
            <w:t>в 2023 году</w:t>
          </w:r>
          <w:r>
            <w:rPr>
              <w:i/>
            </w:rPr>
            <w:t xml:space="preserve"> </w:t>
          </w:r>
          <w:r>
            <w:t xml:space="preserve">наблюдалась в группе </w:t>
          </w:r>
          <w:r>
            <w:t xml:space="preserve">городских округов - в </w:t>
          </w:r>
          <w:r>
            <w:rPr>
              <w:color w:val="000000"/>
            </w:rPr>
            <w:t>г. Сельцо (42,6%), г. Брянске (33,8%), г. Клинцы (30,84%); в</w:t>
          </w:r>
          <w:r>
            <w:t xml:space="preserve"> группе муниципальных образований — в Погарском (52,0%), Брянском (49,03%), Клинцовском (48,7%) районах.</w:t>
          </w:r>
        </w:p>
        <w:p w:rsidR="008E239A" w:rsidRDefault="00D61E62">
          <w:pPr>
            <w:suppressAutoHyphens/>
            <w:ind w:firstLine="709"/>
            <w:jc w:val="both"/>
          </w:pPr>
          <w:r>
            <w:t>Положительная динамика да</w:t>
          </w:r>
          <w:r>
            <w:t>нного показателя наблюдается в городских округах г. Брянск, г. Клинцы, г. Сельцо. В городском округе г.Фокино показатель не изменился и остался на уровне 2022 года.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В группе муниципальных районов наблюдалась положительная динамика показателя в </w:t>
          </w:r>
          <w:r>
            <w:rPr>
              <w:color w:val="000000"/>
            </w:rPr>
            <w:t>11-ти</w:t>
          </w:r>
          <w:r>
            <w:t xml:space="preserve"> района</w:t>
          </w:r>
          <w:r>
            <w:t xml:space="preserve">х (Брасовском, Брянском, Выгоничском, Гордеевском, Жуковском округе, Клетнянском, Комаричском, Красногорском, Мглинском, Погарском, Трубчевском). При этом самый большой рост показателя наблюдался в </w:t>
          </w:r>
          <w:r>
            <w:rPr>
              <w:color w:val="000000"/>
            </w:rPr>
            <w:t>Брянском</w:t>
          </w:r>
          <w:r>
            <w:t xml:space="preserve"> муниципальном районе.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color w:val="000000"/>
            </w:rPr>
            <w:t>В</w:t>
          </w:r>
          <w:r>
            <w:t xml:space="preserve"> </w:t>
          </w:r>
          <w:r>
            <w:rPr>
              <w:color w:val="000000"/>
            </w:rPr>
            <w:t>9-ти</w:t>
          </w:r>
          <w:r>
            <w:t xml:space="preserve"> муниципальных районах (в </w:t>
          </w:r>
          <w:r>
            <w:rPr>
              <w:color w:val="000000"/>
            </w:rPr>
            <w:t>Дубровском</w:t>
          </w:r>
          <w:r>
            <w:t xml:space="preserve">, </w:t>
          </w:r>
          <w:r>
            <w:rPr>
              <w:color w:val="000000"/>
            </w:rPr>
            <w:t>Злынковском, Карачевском,</w:t>
          </w:r>
          <w:r>
            <w:t xml:space="preserve"> </w:t>
          </w:r>
          <w:r>
            <w:rPr>
              <w:color w:val="000000"/>
            </w:rPr>
            <w:t>Климовском</w:t>
          </w:r>
          <w:r>
            <w:t xml:space="preserve">, Клинцовском, </w:t>
          </w:r>
          <w:r>
            <w:rPr>
              <w:color w:val="000000"/>
            </w:rPr>
            <w:t>Навлинском, Почепском, Севском, Унечском</w:t>
          </w:r>
          <w:r>
            <w:t xml:space="preserve">) наблюдалась отрицательная динамика, в </w:t>
          </w:r>
          <w:r>
            <w:rPr>
              <w:color w:val="000000"/>
            </w:rPr>
            <w:t>6-ти</w:t>
          </w:r>
          <w:r>
            <w:t xml:space="preserve"> муниципальных районах (в </w:t>
          </w:r>
          <w:r>
            <w:rPr>
              <w:color w:val="000000"/>
            </w:rPr>
            <w:t>Дятьковском</w:t>
          </w:r>
          <w:r>
            <w:t xml:space="preserve">, Жирятинском, </w:t>
          </w:r>
          <w:r>
            <w:rPr>
              <w:color w:val="000000"/>
            </w:rPr>
            <w:t>Рогнединском, Суземском, Суражс</w:t>
          </w:r>
          <w:r>
            <w:rPr>
              <w:color w:val="000000"/>
            </w:rPr>
            <w:t>ком и Стародубском муниципальном округе)</w:t>
          </w:r>
          <w:r>
            <w:t xml:space="preserve"> значения показателя </w:t>
          </w:r>
          <w:r>
            <w:rPr>
              <w:color w:val="000000"/>
            </w:rPr>
            <w:t>сохранились</w:t>
          </w:r>
          <w:r>
            <w:t xml:space="preserve"> на уровне 2022 года. </w:t>
          </w:r>
        </w:p>
        <w:p w:rsidR="008E239A" w:rsidRDefault="00D61E62">
          <w:pPr>
            <w:suppressAutoHyphens/>
            <w:ind w:firstLine="709"/>
            <w:jc w:val="both"/>
          </w:pPr>
          <w:r>
            <w:lastRenderedPageBreak/>
            <w:t xml:space="preserve">Значения показателя выше среднеобластного уровня имеют </w:t>
          </w:r>
          <w:r>
            <w:rPr>
              <w:color w:val="000000"/>
            </w:rPr>
            <w:t>10</w:t>
          </w:r>
          <w:r>
            <w:t xml:space="preserve"> из 26 муниципальных районов (Брасовский, Брянский, Гордеевский, Дятьковский, Злынковский, Клинцовский, </w:t>
          </w:r>
          <w:r>
            <w:t xml:space="preserve">Комаричский, Мглинский, Погарский, Стародубский муниципальный округ). </w:t>
          </w:r>
          <w:r>
            <w:rPr>
              <w:color w:val="000000"/>
            </w:rPr>
            <w:t>Превышение значения показателя обусловлено рядом факторов: реализацией администрациями муниципалитетов мероприятий по снижению напряженности на рынке труда, в том числе предоставление ма</w:t>
          </w:r>
          <w:r>
            <w:rPr>
              <w:color w:val="000000"/>
            </w:rPr>
            <w:t>лоимущим гражданам социального контракта на осуществление индивидуальной предпринимательской деятельности, в рамках муниципальных программ поддержки и развития малого и среднего предпринимательства, мероприятий по стимулированию внутреннего спроса на проду</w:t>
          </w:r>
          <w:r>
            <w:rPr>
              <w:color w:val="000000"/>
            </w:rPr>
            <w:t xml:space="preserve">кцию и услуги отечественных производителей. Указанные мероприятия поспособствовали увеличению количества малых и средних предприятий на подведомственных территориях и увеличению среднесписочной численности занятых в них работников. </w:t>
          </w: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D61E62">
          <w:pPr>
            <w:suppressAutoHyphens/>
            <w:ind w:firstLine="709"/>
            <w:jc w:val="center"/>
          </w:pPr>
          <w:r>
            <w:rPr>
              <w:u w:val="single"/>
            </w:rPr>
            <w:t>Перечень мероприятий п</w:t>
          </w:r>
          <w:r>
            <w:rPr>
              <w:u w:val="single"/>
            </w:rPr>
            <w:t>о повышению результативности деятельности органов местного самоуправления городских округов и муниципальных районов по разделу «Малое и среднее предпринимательство»</w:t>
          </w: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D61E62">
          <w:pPr>
            <w:suppressAutoHyphens/>
            <w:ind w:firstLine="709"/>
            <w:jc w:val="both"/>
          </w:pPr>
          <w:r>
            <w:t>1.</w:t>
          </w:r>
          <w:r>
            <w:tab/>
            <w:t>Проведение информационно-консультационных мероприятий в муниципальных образованиях Брян</w:t>
          </w:r>
          <w:r>
            <w:t>ской области с целью информирования субъектов малого и среднего предпринимательства о мерах государственной поддержки, реализуемых на федеральном, региональном и муниципальном уровнях.</w:t>
          </w:r>
        </w:p>
        <w:p w:rsidR="008E239A" w:rsidRDefault="00D61E62">
          <w:pPr>
            <w:suppressAutoHyphens/>
            <w:ind w:firstLine="709"/>
            <w:jc w:val="both"/>
          </w:pPr>
          <w:r>
            <w:t>2. Организация работы по привлечению субъектов МСП к льготному финансир</w:t>
          </w:r>
          <w:r>
            <w:t>ованию.</w:t>
          </w:r>
        </w:p>
        <w:p w:rsidR="008E239A" w:rsidRDefault="00D61E62">
          <w:pPr>
            <w:suppressAutoHyphens/>
            <w:ind w:firstLine="709"/>
            <w:jc w:val="both"/>
          </w:pPr>
          <w:r>
            <w:t>3.</w:t>
          </w:r>
          <w:r>
            <w:tab/>
            <w:t>Проведение работы по обеспечению финансового наполнения муниципальных программ поддержки и развития малого и среднего предпринимательства за счет средств местных бюджетов.</w:t>
          </w:r>
        </w:p>
        <w:p w:rsidR="008E239A" w:rsidRDefault="00D61E62">
          <w:pPr>
            <w:suppressAutoHyphens/>
            <w:ind w:firstLine="709"/>
            <w:jc w:val="both"/>
          </w:pPr>
          <w:r>
            <w:t>4. Обеспечение выявления и регистрации самозанятых граждан, а также созда</w:t>
          </w:r>
          <w:r>
            <w:t>ние благоприятной среды для осуществления их деятельности.</w:t>
          </w: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D61E62">
          <w:pPr>
            <w:suppressAutoHyphens/>
            <w:spacing w:after="120"/>
            <w:jc w:val="center"/>
          </w:pPr>
          <w:r>
            <w:rPr>
              <w:b/>
            </w:rPr>
            <w:t>Инвестиции</w:t>
          </w:r>
        </w:p>
        <w:p w:rsidR="008E239A" w:rsidRDefault="00D61E62">
          <w:pPr>
            <w:pBdr>
              <w:bottom w:val="single" w:sz="4" w:space="0" w:color="FFFFFF"/>
            </w:pBdr>
            <w:shd w:val="clear" w:color="auto" w:fill="FFFFFF"/>
            <w:tabs>
              <w:tab w:val="left" w:pos="0"/>
              <w:tab w:val="left" w:pos="3276"/>
              <w:tab w:val="left" w:pos="3960"/>
            </w:tabs>
            <w:suppressAutoHyphens/>
            <w:ind w:firstLine="709"/>
            <w:jc w:val="both"/>
          </w:pPr>
          <w:r>
            <w:rPr>
              <w:rFonts w:eastAsia="Calibri"/>
              <w:color w:val="000000"/>
              <w:lang w:eastAsia="en-US"/>
            </w:rPr>
            <w:t>В 2023 году о</w:t>
          </w:r>
          <w:r>
            <w:rPr>
              <w:bCs/>
              <w:color w:val="000000"/>
            </w:rPr>
            <w:t>существлялось активное взаимодействие с потенциальными инвесторами и действующими предприятиями по вопросам реализации инвестиционных проектов, продолжилась работа по форми</w:t>
          </w:r>
          <w:r>
            <w:rPr>
              <w:bCs/>
              <w:color w:val="000000"/>
            </w:rPr>
            <w:t xml:space="preserve">рованию на территории  региона инвестиционных площадок. </w:t>
          </w:r>
          <w:r>
            <w:rPr>
              <w:color w:val="000000"/>
            </w:rPr>
            <w:t>Проводилась систематическая актуализация инвестиционных паспортов муниципальных, городских округов и муниципальных районов области, формирование паспортов свободных площадок по муниципальным образован</w:t>
          </w:r>
          <w:r>
            <w:rPr>
              <w:color w:val="000000"/>
            </w:rPr>
            <w:t>иям. На конец 2023 года общий перечень реализуемых и планируемых к реализации инвестиционных проектов на территории Брянской области содержит 134 действующих инвестиционных проекта с общим заявленным объемом инвестиций около 180 млрд. рублей, количеством с</w:t>
          </w:r>
          <w:r>
            <w:rPr>
              <w:color w:val="000000"/>
            </w:rPr>
            <w:t xml:space="preserve">оздаваемых рабочих мест – более 20 тысяч. Сроки реализации проектов - до 2037 года. </w:t>
          </w:r>
        </w:p>
        <w:p w:rsidR="008E239A" w:rsidRDefault="00D61E62">
          <w:pPr>
            <w:widowControl w:val="0"/>
            <w:pBdr>
              <w:bottom w:val="single" w:sz="4" w:space="0" w:color="FFFFFF"/>
            </w:pBdr>
            <w:shd w:val="clear" w:color="auto" w:fill="FFFFFF"/>
            <w:tabs>
              <w:tab w:val="left" w:pos="4125"/>
            </w:tabs>
            <w:suppressAutoHyphens/>
            <w:ind w:firstLine="709"/>
            <w:jc w:val="both"/>
            <w:textAlignment w:val="baseline"/>
          </w:pPr>
          <w:r>
            <w:rPr>
              <w:color w:val="000000"/>
            </w:rPr>
            <w:lastRenderedPageBreak/>
            <w:t xml:space="preserve">В рамках реализации инвестиционной политики утверждены приоритетные направления инвестиционной деятельности и перечень инвестиционных проектов, имеющих приоритетное право на государственную поддержку. 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  <w:textAlignment w:val="baseline"/>
          </w:pPr>
          <w:r>
            <w:t>С 1 января 2023 года вступил в сил</w:t>
          </w:r>
          <w:r>
            <w:rPr>
              <w:color w:val="000000"/>
              <w:lang w:eastAsia="zh-CN"/>
            </w:rPr>
            <w:t>у З</w:t>
          </w:r>
          <w:r>
            <w:rPr>
              <w:rStyle w:val="af0"/>
              <w:i w:val="0"/>
              <w:iCs w:val="0"/>
            </w:rPr>
            <w:t>акон</w:t>
          </w:r>
          <w:r>
            <w:t xml:space="preserve"> Брянской обл</w:t>
          </w:r>
          <w:r>
            <w:t xml:space="preserve">асти от 26 сентября 2022 года № </w:t>
          </w:r>
          <w:r>
            <w:rPr>
              <w:rStyle w:val="af0"/>
              <w:i w:val="0"/>
              <w:iCs w:val="0"/>
            </w:rPr>
            <w:t>70</w:t>
          </w:r>
          <w:r>
            <w:t>-</w:t>
          </w:r>
          <w:r>
            <w:rPr>
              <w:rStyle w:val="af0"/>
              <w:i w:val="0"/>
              <w:iCs w:val="0"/>
            </w:rPr>
            <w:t>З «</w:t>
          </w:r>
          <w:r>
            <w:t>О применении на территории Брянской области инвестиционного налогового вычета по налогу на прибыль организаций». Право на применение инвестиционного налогового вычета предоставляется организациям, относящимся к виду эк</w:t>
          </w:r>
          <w:r>
            <w:t xml:space="preserve">ономической деятельности «Обрабатывающие производства», реализующие приоритетные инвестиционные проекты, а также </w:t>
          </w:r>
          <w:r>
            <w:rPr>
              <w:rFonts w:eastAsia="Calibri"/>
              <w:lang w:eastAsia="en-US"/>
            </w:rPr>
            <w:t xml:space="preserve">организациям - участникам национального проекта «Производительность труда». </w:t>
          </w:r>
        </w:p>
        <w:p w:rsidR="008E239A" w:rsidRDefault="00D61E62">
          <w:pPr>
            <w:widowControl w:val="0"/>
            <w:pBdr>
              <w:bottom w:val="single" w:sz="4" w:space="0" w:color="FFFFFF"/>
            </w:pBdr>
            <w:shd w:val="clear" w:color="auto" w:fill="FFFFFF"/>
            <w:tabs>
              <w:tab w:val="left" w:pos="5655"/>
            </w:tabs>
            <w:suppressAutoHyphens/>
            <w:ind w:firstLine="709"/>
            <w:jc w:val="both"/>
            <w:textAlignment w:val="baseline"/>
          </w:pPr>
          <w:r>
            <w:rPr>
              <w:color w:val="000000"/>
              <w:spacing w:val="-4"/>
            </w:rPr>
            <w:t>С 2023 года Брянская область начала реализацию Регионального инвес</w:t>
          </w:r>
          <w:r>
            <w:rPr>
              <w:color w:val="000000"/>
              <w:spacing w:val="-4"/>
            </w:rPr>
            <w:t>тиционного стандарта, который</w:t>
          </w:r>
          <w:r>
            <w:rPr>
              <w:color w:val="000000"/>
            </w:rPr>
            <w:t xml:space="preserve"> гарантирует инвесторам ускоренное прохождение бизнес-процедур, связанных с предоставлением государственных и муниципальных услуг, а также выдачей разрешительных документов. </w:t>
          </w:r>
        </w:p>
        <w:p w:rsidR="008E239A" w:rsidRDefault="00D61E62">
          <w:pPr>
            <w:pBdr>
              <w:bottom w:val="single" w:sz="4" w:space="0" w:color="FFFFFF"/>
            </w:pBdr>
            <w:shd w:val="clear" w:color="auto" w:fill="FFFFFF"/>
            <w:tabs>
              <w:tab w:val="left" w:pos="0"/>
              <w:tab w:val="left" w:pos="3276"/>
              <w:tab w:val="left" w:pos="3960"/>
            </w:tabs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>Реализуются инвестиционные проекты крупных промышлен</w:t>
          </w:r>
          <w:r>
            <w:rPr>
              <w:rFonts w:eastAsia="Calibri"/>
              <w:lang w:eastAsia="en-US"/>
            </w:rPr>
            <w:t>ных предприятий: АО «</w:t>
          </w:r>
          <w:r>
            <w:rPr>
              <w:color w:val="000000"/>
            </w:rPr>
            <w:t>Управляющая компания</w:t>
          </w:r>
          <w:r>
            <w:rPr>
              <w:rFonts w:eastAsia="Calibri"/>
              <w:lang w:eastAsia="en-US"/>
            </w:rPr>
            <w:t xml:space="preserve"> «Брянский машиностроительный завод», АО «Брянский автомобильный завод», АО «Пролетарий» и др. В агропромышленном комплексе реализуют крупные инвестиционные проекты </w:t>
          </w:r>
          <w:r>
            <w:rPr>
              <w:rFonts w:eastAsia="Calibri"/>
              <w:color w:val="000000"/>
              <w:lang w:eastAsia="en-US"/>
            </w:rPr>
            <w:t>в отрасли животноводства и</w:t>
          </w:r>
          <w:r>
            <w:rPr>
              <w:rFonts w:eastAsia="Calibri"/>
              <w:lang w:eastAsia="en-US"/>
            </w:rPr>
            <w:t xml:space="preserve"> растениеводства ООО «Брянская мясная компания», ООО «Дружба», ООО «Мираторг-Курск», </w:t>
          </w:r>
          <w:r>
            <w:rPr>
              <w:rFonts w:eastAsia="Calibri"/>
              <w:color w:val="000000"/>
              <w:lang w:eastAsia="en-US"/>
            </w:rPr>
            <w:t>ООО «Брасовские сыры», ООО «Тепличный комбинат «Журиничи»  и др.</w:t>
          </w:r>
        </w:p>
        <w:p w:rsidR="008E239A" w:rsidRDefault="00D61E62">
          <w:pPr>
            <w:suppressAutoHyphens/>
            <w:ind w:firstLine="709"/>
            <w:jc w:val="both"/>
          </w:pPr>
          <w:r>
            <w:t>Инвестиционная привлекательность муниципальных образований Брянской области носит дифференцированный харак</w:t>
          </w:r>
          <w:r>
            <w:t xml:space="preserve">тер, так как инвестиционный климат в  муниципальных образованиях области </w:t>
          </w:r>
          <w:r>
            <w:rPr>
              <w:color w:val="000000"/>
            </w:rPr>
            <w:t>имеет различную степень привлекательности</w:t>
          </w:r>
          <w:r>
            <w:t xml:space="preserve">. </w:t>
          </w:r>
          <w:r>
            <w:t>Рост инвестиционной привлекательности, как правило, связан с близостью расположения к областному центру и размером муниципального образовани</w:t>
          </w:r>
          <w:r>
            <w:t>я (в небольших муниципальных образованиях трудовые ресурсы, их уровень образования, квалификации ограничены).</w:t>
          </w: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D61E62">
          <w:pPr>
            <w:pStyle w:val="ConsPlusNonformat"/>
            <w:ind w:firstLine="709"/>
            <w:jc w:val="both"/>
          </w:pPr>
          <w:r>
            <w:rPr>
              <w:rFonts w:ascii="Times New Roman" w:hAnsi="Times New Roman" w:cs="Times New Roman"/>
              <w:b/>
              <w:bCs/>
              <w:color w:val="000000"/>
              <w:sz w:val="28"/>
              <w:szCs w:val="28"/>
            </w:rPr>
            <w:t>3. Объем инвестиций в основной капитал (за исключением бюджетных средств) в расчете на 1 жителя (рублей)</w:t>
          </w:r>
        </w:p>
        <w:p w:rsidR="008E239A" w:rsidRDefault="00D61E62">
          <w:pPr>
            <w:suppressAutoHyphens/>
            <w:ind w:firstLine="720"/>
            <w:jc w:val="both"/>
          </w:pPr>
          <w:r>
            <w:rPr>
              <w:color w:val="000000"/>
            </w:rPr>
            <w:t xml:space="preserve">По итогам 2023 года значение показателя </w:t>
          </w:r>
          <w:r>
            <w:rPr>
              <w:color w:val="000000"/>
            </w:rPr>
            <w:t xml:space="preserve">в </w:t>
          </w:r>
          <w:r>
            <w:rPr>
              <w:color w:val="000000"/>
            </w:rPr>
            <w:t>среднем</w:t>
          </w:r>
          <w:r>
            <w:rPr>
              <w:color w:val="000000"/>
            </w:rPr>
            <w:t xml:space="preserve"> по области</w:t>
          </w:r>
          <w:r>
            <w:rPr>
              <w:b/>
              <w:color w:val="000000"/>
            </w:rPr>
            <w:t xml:space="preserve"> </w:t>
          </w:r>
          <w:r>
            <w:rPr>
              <w:color w:val="000000"/>
            </w:rPr>
            <w:t xml:space="preserve">составил </w:t>
          </w:r>
          <w:r>
            <w:rPr>
              <w:color w:val="000000"/>
            </w:rPr>
            <w:t xml:space="preserve">52332,77 </w:t>
          </w:r>
          <w:r>
            <w:rPr>
              <w:color w:val="000000"/>
            </w:rPr>
            <w:t xml:space="preserve">рубля(в 2022 году – </w:t>
          </w:r>
          <w:r>
            <w:rPr>
              <w:color w:val="000000"/>
            </w:rPr>
            <w:t>57202,18</w:t>
          </w:r>
          <w:r>
            <w:rPr>
              <w:color w:val="000000"/>
            </w:rPr>
            <w:t xml:space="preserve">  рубля в действующих ценах). </w:t>
          </w:r>
        </w:p>
        <w:p w:rsidR="008E239A" w:rsidRDefault="00D61E62">
          <w:pPr>
            <w:suppressAutoHyphens/>
            <w:ind w:firstLine="709"/>
            <w:jc w:val="both"/>
          </w:pPr>
          <w:r>
            <w:t>Инвестиционная деятельность в разрезе муниципальных образований характеризуется большим разбросом значений показателя. Таким образом, по объему инвестиций в о</w:t>
          </w:r>
          <w:r>
            <w:t>сновной капитал (за исключением бюджетных средств) в расчете на 1 жителя в 2023 году лидируют</w:t>
          </w:r>
          <w:r>
            <w:rPr>
              <w:color w:val="000000"/>
            </w:rPr>
            <w:t xml:space="preserve"> в группе</w:t>
          </w:r>
          <w:r>
            <w:t xml:space="preserve"> городских округов - г. Сельцо (59097,3 рубля), г. Брянск (</w:t>
          </w:r>
          <w:r>
            <w:rPr>
              <w:color w:val="000000"/>
            </w:rPr>
            <w:t>46897,1</w:t>
          </w:r>
          <w:r>
            <w:t xml:space="preserve"> рубля), г. Фокино  (31316,3 рубля), </w:t>
          </w:r>
          <w:r>
            <w:rPr>
              <w:color w:val="000000"/>
            </w:rPr>
            <w:t xml:space="preserve">в группе муниципальных районов - Выгоничский (237429,3 рубля), </w:t>
          </w:r>
          <w:r>
            <w:t>Севский (</w:t>
          </w:r>
          <w:r>
            <w:rPr>
              <w:color w:val="000000"/>
            </w:rPr>
            <w:t>226219,3</w:t>
          </w:r>
          <w:r>
            <w:t xml:space="preserve"> рубля), Унечский (116278,6 рубля) районы.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Наименьшее значение </w:t>
          </w:r>
          <w:r>
            <w:rPr>
              <w:color w:val="000000"/>
            </w:rPr>
            <w:t>о</w:t>
          </w:r>
          <w:r>
            <w:t>бъема инвестиций в основной капитал (за исключением бюджетных средств) в расчете на 1 жителя в 2023 году отмечен</w:t>
          </w:r>
          <w:r>
            <w:t xml:space="preserve">о в </w:t>
          </w:r>
          <w:r>
            <w:lastRenderedPageBreak/>
            <w:t>Красногорском (</w:t>
          </w:r>
          <w:r>
            <w:rPr>
              <w:color w:val="000000"/>
            </w:rPr>
            <w:t>1333,8</w:t>
          </w:r>
          <w:r>
            <w:t xml:space="preserve"> рубля), Гордеевском</w:t>
          </w:r>
          <w:r>
            <w:rPr>
              <w:color w:val="000000"/>
            </w:rPr>
            <w:t xml:space="preserve"> </w:t>
          </w:r>
          <w:r>
            <w:t>(</w:t>
          </w:r>
          <w:r>
            <w:rPr>
              <w:color w:val="000000"/>
            </w:rPr>
            <w:t>3025,5</w:t>
          </w:r>
          <w:r>
            <w:t xml:space="preserve"> рубля), </w:t>
          </w:r>
          <w:r>
            <w:rPr>
              <w:color w:val="000000"/>
            </w:rPr>
            <w:t>Злынковском</w:t>
          </w:r>
          <w:r>
            <w:t xml:space="preserve"> (</w:t>
          </w:r>
          <w:r>
            <w:rPr>
              <w:color w:val="000000"/>
            </w:rPr>
            <w:t>7225 рублей</w:t>
          </w:r>
          <w:r>
            <w:t>) муниципальных районах, в Жуковском муниципальном округе (</w:t>
          </w:r>
          <w:r>
            <w:rPr>
              <w:color w:val="000000"/>
            </w:rPr>
            <w:t>11854,6</w:t>
          </w:r>
          <w:r>
            <w:t xml:space="preserve"> рубля).</w:t>
          </w:r>
        </w:p>
        <w:p w:rsidR="008E239A" w:rsidRDefault="00D61E62">
          <w:pPr>
            <w:widowControl w:val="0"/>
            <w:pBdr>
              <w:bottom w:val="single" w:sz="6" w:space="31" w:color="FFFFFF"/>
            </w:pBdr>
            <w:suppressAutoHyphens/>
            <w:ind w:firstLine="709"/>
            <w:jc w:val="both"/>
          </w:pPr>
          <w:r>
            <w:t>Положительная динамика показателя к уровню 2022 года</w:t>
          </w:r>
          <w:r>
            <w:rPr>
              <w:lang w:eastAsia="en-US"/>
            </w:rPr>
            <w:t xml:space="preserve"> </w:t>
          </w:r>
          <w:r>
            <w:rPr>
              <w:color w:val="000000"/>
              <w:lang w:eastAsia="en-US"/>
            </w:rPr>
            <w:t>сложилась</w:t>
          </w:r>
          <w:r>
            <w:rPr>
              <w:lang w:eastAsia="en-US"/>
            </w:rPr>
            <w:t xml:space="preserve"> в 13 муниципальных районах области из 26, в том числе с наибольшим ростом индекса среднего темпа роста значения: в Красногорском, Гордеевском, </w:t>
          </w:r>
          <w:r>
            <w:rPr>
              <w:color w:val="000000"/>
              <w:lang w:eastAsia="en-US"/>
            </w:rPr>
            <w:t>Карачевском районах</w:t>
          </w:r>
          <w:r>
            <w:rPr>
              <w:lang w:eastAsia="en-US"/>
            </w:rPr>
            <w:t xml:space="preserve">, а также в 3 городских округах: г. </w:t>
          </w:r>
          <w:r>
            <w:rPr>
              <w:color w:val="000000"/>
              <w:lang w:eastAsia="en-US"/>
            </w:rPr>
            <w:t>Сельцо, г. Клинцы, г. Брянск</w:t>
          </w:r>
          <w:r>
            <w:rPr>
              <w:lang w:eastAsia="en-US"/>
            </w:rPr>
            <w:t xml:space="preserve">. </w:t>
          </w:r>
        </w:p>
        <w:p w:rsidR="008E239A" w:rsidRDefault="00D61E62">
          <w:pPr>
            <w:widowControl w:val="0"/>
            <w:pBdr>
              <w:bottom w:val="single" w:sz="6" w:space="31" w:color="FFFFFF"/>
            </w:pBdr>
            <w:suppressAutoHyphens/>
            <w:ind w:firstLine="709"/>
            <w:jc w:val="both"/>
          </w:pPr>
          <w:r>
            <w:rPr>
              <w:lang w:eastAsia="en-US"/>
            </w:rPr>
            <w:t>Отрицательная динамика наб</w:t>
          </w:r>
          <w:r>
            <w:rPr>
              <w:lang w:eastAsia="en-US"/>
            </w:rPr>
            <w:t xml:space="preserve">людается в 13 муниципальных районах, в том числе с наибольшим снижением значений показателя в </w:t>
          </w:r>
          <w:r>
            <w:rPr>
              <w:color w:val="000000"/>
              <w:lang w:eastAsia="en-US"/>
            </w:rPr>
            <w:t>Брасовском, Брянском, Суземском</w:t>
          </w:r>
          <w:r>
            <w:rPr>
              <w:lang w:eastAsia="en-US"/>
            </w:rPr>
            <w:t xml:space="preserve"> районах, а также в городском округе г. </w:t>
          </w:r>
          <w:r>
            <w:rPr>
              <w:color w:val="000000"/>
              <w:lang w:eastAsia="en-US"/>
            </w:rPr>
            <w:t>Новозыбков</w:t>
          </w:r>
          <w:r>
            <w:rPr>
              <w:lang w:eastAsia="en-US"/>
            </w:rPr>
            <w:t>.</w:t>
          </w:r>
        </w:p>
        <w:p w:rsidR="008E239A" w:rsidRDefault="008E239A">
          <w:pPr>
            <w:widowControl w:val="0"/>
            <w:pBdr>
              <w:bottom w:val="single" w:sz="6" w:space="0" w:color="FFFFFF"/>
            </w:pBdr>
            <w:suppressAutoHyphens/>
            <w:ind w:firstLine="709"/>
            <w:jc w:val="both"/>
            <w:rPr>
              <w:lang w:eastAsia="en-US"/>
            </w:rPr>
          </w:pPr>
        </w:p>
        <w:p w:rsidR="008E239A" w:rsidRDefault="00D61E62">
          <w:pPr>
            <w:suppressAutoHyphens/>
            <w:ind w:firstLine="709"/>
            <w:jc w:val="center"/>
          </w:pPr>
          <w:r>
            <w:rPr>
              <w:bCs/>
              <w:u w:val="single"/>
            </w:rPr>
            <w:t>Перечень мероприятий по повышению результативности деятельности органов местно</w:t>
          </w:r>
          <w:r>
            <w:rPr>
              <w:bCs/>
              <w:u w:val="single"/>
            </w:rPr>
            <w:t>го самоуправления</w:t>
          </w:r>
          <w:r>
            <w:rPr>
              <w:u w:val="single"/>
            </w:rPr>
            <w:t xml:space="preserve"> городских округов и муниципальных районов по разделу «Инвестиции»</w:t>
          </w: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D61E62">
          <w:pPr>
            <w:tabs>
              <w:tab w:val="left" w:pos="1080"/>
            </w:tabs>
            <w:suppressAutoHyphens/>
            <w:ind w:firstLine="709"/>
            <w:jc w:val="both"/>
          </w:pPr>
          <w:r>
            <w:t>1.</w:t>
          </w:r>
          <w:bookmarkStart w:id="1" w:name="page107R_mcid81"/>
          <w:bookmarkEnd w:id="1"/>
          <w:r>
            <w:t xml:space="preserve"> </w:t>
          </w:r>
          <w:r>
            <w:rPr>
              <w:color w:val="000000"/>
            </w:rPr>
            <w:t>П</w:t>
          </w:r>
          <w:r>
            <w:rPr>
              <w:color w:val="000000"/>
            </w:rPr>
            <w:t>роведение активной работы по выявлению инвестиционных ниш, потенциально возможных к реализации на территории муниципальных образований Брянской области.</w:t>
          </w:r>
        </w:p>
        <w:p w:rsidR="008E239A" w:rsidRDefault="00D61E62">
          <w:pPr>
            <w:tabs>
              <w:tab w:val="left" w:pos="1080"/>
            </w:tabs>
            <w:suppressAutoHyphens/>
            <w:ind w:firstLine="709"/>
            <w:jc w:val="both"/>
          </w:pPr>
          <w:r>
            <w:t xml:space="preserve">2. </w:t>
          </w:r>
          <w:r>
            <w:t>П</w:t>
          </w:r>
          <w:r>
            <w:t xml:space="preserve">роведение </w:t>
          </w:r>
          <w:r>
            <w:t>мониторинга земельных участков, которые могут быть предоставлены субъектам предпринимательской деятельности под реализацию инвестиционных проектов</w:t>
          </w:r>
          <w:r>
            <w:t>.</w:t>
          </w:r>
        </w:p>
        <w:p w:rsidR="008E239A" w:rsidRDefault="00D61E62">
          <w:pPr>
            <w:tabs>
              <w:tab w:val="left" w:pos="0"/>
            </w:tabs>
            <w:suppressAutoHyphens/>
            <w:ind w:firstLine="709"/>
            <w:contextualSpacing/>
            <w:jc w:val="both"/>
          </w:pPr>
          <w:r>
            <w:t xml:space="preserve">3. Проведение </w:t>
          </w:r>
          <w:r>
            <w:t>системной работы по актуализации информации, размещенной на официальном сайте муниципального о</w:t>
          </w:r>
          <w:r>
            <w:t>бразования в разделе «Инвестиции».</w:t>
          </w:r>
        </w:p>
        <w:p w:rsidR="008E239A" w:rsidRDefault="00D61E62">
          <w:pPr>
            <w:tabs>
              <w:tab w:val="left" w:pos="0"/>
            </w:tabs>
            <w:suppressAutoHyphens/>
            <w:ind w:firstLine="709"/>
            <w:contextualSpacing/>
            <w:jc w:val="both"/>
          </w:pPr>
          <w:r>
            <w:t>4. Оказание методической и консультационной поддержки инвесторам, реализующим (или планирующим реализацию) инвестиционные проекты на территории муниципального образования.</w:t>
          </w:r>
        </w:p>
        <w:p w:rsidR="008E239A" w:rsidRDefault="008E239A">
          <w:pPr>
            <w:tabs>
              <w:tab w:val="left" w:pos="0"/>
            </w:tabs>
            <w:suppressAutoHyphens/>
            <w:ind w:firstLine="709"/>
            <w:contextualSpacing/>
            <w:jc w:val="both"/>
          </w:pPr>
        </w:p>
        <w:p w:rsidR="008E239A" w:rsidRDefault="00D61E62">
          <w:pPr>
            <w:pStyle w:val="aff"/>
            <w:suppressAutoHyphens/>
            <w:ind w:left="0"/>
            <w:jc w:val="center"/>
          </w:pPr>
          <w:r>
            <w:rPr>
              <w:b/>
              <w:sz w:val="28"/>
              <w:szCs w:val="28"/>
            </w:rPr>
            <w:t>Налогооблагаемая база</w:t>
          </w:r>
        </w:p>
        <w:p w:rsidR="008E239A" w:rsidRDefault="00D61E62">
          <w:pPr>
            <w:pStyle w:val="aff7"/>
            <w:suppressAutoHyphens/>
            <w:spacing w:after="120" w:line="240" w:lineRule="auto"/>
            <w:ind w:left="0" w:firstLine="709"/>
            <w:jc w:val="both"/>
          </w:pPr>
          <w:r>
            <w:rPr>
              <w:rFonts w:ascii="Times New Roman" w:hAnsi="Times New Roman"/>
              <w:b/>
              <w:sz w:val="28"/>
              <w:szCs w:val="28"/>
            </w:rPr>
            <w:t xml:space="preserve">4. Доля площади земельных </w:t>
          </w:r>
          <w:r>
            <w:rPr>
              <w:rFonts w:ascii="Times New Roman" w:hAnsi="Times New Roman"/>
              <w:b/>
              <w:sz w:val="28"/>
              <w:szCs w:val="28"/>
            </w:rPr>
            <w:t>участков, являющихся объектами налогообложения земельным налогом, в общей площади территории городского округа (муниципального района) (процентов)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Значение показателя в 2023 году по сравнению с предыдущим годом возросло в </w:t>
          </w:r>
          <w:r>
            <w:rPr>
              <w:color w:val="000000"/>
            </w:rPr>
            <w:t>среднем</w:t>
          </w:r>
          <w:r>
            <w:t xml:space="preserve"> по области на </w:t>
          </w:r>
          <w:r>
            <w:rPr>
              <w:color w:val="000000"/>
            </w:rPr>
            <w:t>0,21%</w:t>
          </w:r>
          <w:r>
            <w:t xml:space="preserve">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bCs/>
              <w:color w:val="000000"/>
            </w:rPr>
            <w:t>Наиб</w:t>
          </w:r>
          <w:r>
            <w:rPr>
              <w:bCs/>
              <w:color w:val="000000"/>
            </w:rPr>
            <w:t>ольшие</w:t>
          </w:r>
          <w:r>
            <w:rPr>
              <w:bCs/>
              <w:color w:val="000000"/>
            </w:rPr>
            <w:t xml:space="preserve"> </w:t>
          </w:r>
          <w:r>
            <w:rPr>
              <w:bCs/>
              <w:color w:val="000000"/>
            </w:rPr>
            <w:t xml:space="preserve">значения данного показателя по итогам 2023 года отмечены </w:t>
          </w:r>
          <w:r>
            <w:rPr>
              <w:bCs/>
              <w:color w:val="000000"/>
            </w:rPr>
            <w:t>в группе</w:t>
          </w:r>
          <w:r>
            <w:rPr>
              <w:bCs/>
              <w:color w:val="000000"/>
            </w:rPr>
            <w:t xml:space="preserve"> муниципальных районов: в </w:t>
          </w:r>
          <w:r>
            <w:t xml:space="preserve">Почепском (98,9%), Рогнединском (98,6%), </w:t>
          </w:r>
          <w:r>
            <w:rPr>
              <w:color w:val="000000"/>
            </w:rPr>
            <w:t>Навлинском (98,0%</w:t>
          </w:r>
          <w:r>
            <w:t>) районах; в группе городских округов — г. Клинцы (51,0%)</w:t>
          </w:r>
          <w:r>
            <w:t>, г. Сельцо (40,0%).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color w:val="000000"/>
            </w:rPr>
            <w:t>Наименьшие</w:t>
          </w:r>
          <w:r>
            <w:t xml:space="preserve"> значения показателя сложились в Климовском (</w:t>
          </w:r>
          <w:r>
            <w:rPr>
              <w:color w:val="000000"/>
            </w:rPr>
            <w:t>20,1</w:t>
          </w:r>
          <w:r>
            <w:t>%), Дятьковском (25,0%), Выгоничском (25,6%), Унечском (36,8%) муниципальных районах.</w:t>
          </w:r>
        </w:p>
        <w:p w:rsidR="008E239A" w:rsidRDefault="00D61E62">
          <w:pPr>
            <w:suppressAutoHyphens/>
            <w:ind w:firstLine="709"/>
            <w:jc w:val="both"/>
          </w:pPr>
          <w:r>
            <w:lastRenderedPageBreak/>
            <w:t xml:space="preserve">Положительная динамика наблюдается в </w:t>
          </w:r>
          <w:r>
            <w:rPr>
              <w:color w:val="000000"/>
            </w:rPr>
            <w:t>13</w:t>
          </w:r>
          <w:r>
            <w:t xml:space="preserve"> муниципальных образованиях области. Наибольший рост показателя в 2023 году отмечен в городском округе г. Сельцо (на 2,0 п.п.), в </w:t>
          </w:r>
          <w:r>
            <w:rPr>
              <w:color w:val="000000"/>
            </w:rPr>
            <w:t>Гордеевском</w:t>
          </w:r>
          <w:r>
            <w:t xml:space="preserve"> муниципальном районе (на </w:t>
          </w:r>
          <w:r>
            <w:rPr>
              <w:color w:val="000000"/>
            </w:rPr>
            <w:t>2,0</w:t>
          </w:r>
          <w:r>
            <w:t xml:space="preserve"> </w:t>
          </w:r>
          <w:r>
            <w:rPr>
              <w:color w:val="000000"/>
            </w:rPr>
            <w:t>п.п.</w:t>
          </w:r>
          <w:r>
            <w:t xml:space="preserve">). 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Показатель </w:t>
          </w:r>
          <w:r>
            <w:rPr>
              <w:color w:val="000000"/>
            </w:rPr>
            <w:t>сохранился</w:t>
          </w:r>
          <w:r>
            <w:t xml:space="preserve"> на уровне 2022 года в группе городских округов — в г. Б</w:t>
          </w:r>
          <w:r>
            <w:t xml:space="preserve">рянске (1,64%), г. Клинцы (51,0%), г. Новозыбкове (22,0%); в группе муниципальных районов — в Брасовском (93,9%), Дятьковском (25,0%), Злынковском (53,0%), Карачевском (48,0%), Клинцовском (47,3%), Мглинском (62,8%), Навлинском (98,0%), Почепском (98,9%), </w:t>
          </w:r>
          <w:r>
            <w:t>Рогнединском (98,6%), Севском (87,8%), Суражском районах (97,4%), в Жуковском (88,75%), Стародубском (83,0%) муниципальных округах.</w:t>
          </w:r>
        </w:p>
        <w:p w:rsidR="008E239A" w:rsidRDefault="00D61E62">
          <w:pPr>
            <w:suppressAutoHyphens/>
            <w:ind w:firstLine="709"/>
            <w:jc w:val="both"/>
          </w:pPr>
          <w:r>
            <w:t>В целях увеличения собственной доходной базы органами местного самоуправления муниципальных образований Брянской области про</w:t>
          </w:r>
          <w:r>
            <w:t>водятся мероприятия в области муниципального контроля в части выявления земельных участков, используемых без титула права. Пользователям земельных участков органами местного самоуправления муниципальных образований Брянской области даются соответствующие р</w:t>
          </w:r>
          <w:r>
            <w:t xml:space="preserve">азъяснения, направляются уведомления об оформлении прав на земельные участки. </w:t>
          </w: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D61E62">
          <w:pPr>
            <w:suppressAutoHyphens/>
            <w:jc w:val="center"/>
          </w:pPr>
          <w:r>
            <w:rPr>
              <w:bCs/>
              <w:u w:val="single"/>
            </w:rPr>
            <w:t>Перечень мероприятий по повышению результативности деятельности органов местного самоуправления</w:t>
          </w:r>
          <w:r>
            <w:rPr>
              <w:u w:val="single"/>
            </w:rPr>
            <w:t xml:space="preserve"> городских округов и муниципальных районов </w:t>
          </w:r>
        </w:p>
        <w:p w:rsidR="008E239A" w:rsidRDefault="00D61E62">
          <w:pPr>
            <w:suppressAutoHyphens/>
            <w:jc w:val="center"/>
          </w:pPr>
          <w:r>
            <w:rPr>
              <w:u w:val="single"/>
            </w:rPr>
            <w:t>по разделу «Налогооблагаемая база»</w:t>
          </w:r>
        </w:p>
        <w:p w:rsidR="008E239A" w:rsidRDefault="008E239A">
          <w:pPr>
            <w:suppressAutoHyphens/>
            <w:jc w:val="center"/>
          </w:pPr>
        </w:p>
        <w:p w:rsidR="008E239A" w:rsidRDefault="00D61E62">
          <w:pPr>
            <w:suppressAutoHyphens/>
            <w:ind w:firstLine="709"/>
            <w:jc w:val="both"/>
          </w:pPr>
          <w:r>
            <w:t>1</w:t>
          </w:r>
          <w:r>
            <w:t>. Вовлечение в оборот неиспользуемых земельных участков, особенно сельскохозяйственных угодий.</w:t>
          </w:r>
        </w:p>
        <w:p w:rsidR="008E239A" w:rsidRDefault="00D61E62">
          <w:pPr>
            <w:suppressAutoHyphens/>
            <w:ind w:firstLine="709"/>
            <w:jc w:val="both"/>
          </w:pPr>
          <w:r>
            <w:t>2. Усиление организационной и разъяснительной работы с населением по оформлению в собственность и постановке на кадастровый учет объектов недвижимости и земельны</w:t>
          </w:r>
          <w:r>
            <w:t>х участков.</w:t>
          </w:r>
        </w:p>
        <w:p w:rsidR="008E239A" w:rsidRDefault="008E239A">
          <w:pPr>
            <w:suppressAutoHyphens/>
            <w:jc w:val="both"/>
          </w:pPr>
        </w:p>
        <w:p w:rsidR="008E239A" w:rsidRDefault="00D61E62">
          <w:pPr>
            <w:suppressAutoHyphens/>
            <w:jc w:val="center"/>
          </w:pPr>
          <w:r>
            <w:tab/>
          </w:r>
          <w:r>
            <w:rPr>
              <w:b/>
            </w:rPr>
            <w:t>Сельское хозяйство</w:t>
          </w:r>
        </w:p>
        <w:p w:rsidR="008E239A" w:rsidRDefault="008E239A">
          <w:pPr>
            <w:tabs>
              <w:tab w:val="left" w:pos="1080"/>
            </w:tabs>
            <w:suppressAutoHyphens/>
            <w:jc w:val="center"/>
          </w:pPr>
        </w:p>
        <w:p w:rsidR="008E239A" w:rsidRDefault="00D61E62">
          <w:pPr>
            <w:suppressAutoHyphens/>
            <w:ind w:firstLine="737"/>
            <w:jc w:val="both"/>
          </w:pPr>
          <w:r>
            <w:rPr>
              <w:rFonts w:eastAsia="Calibri"/>
              <w:color w:val="000000"/>
              <w:lang w:eastAsia="en-US"/>
            </w:rPr>
            <w:t>В 202</w:t>
          </w:r>
          <w:r>
            <w:rPr>
              <w:color w:val="000000"/>
              <w:lang w:eastAsia="zh-CN"/>
            </w:rPr>
            <w:t>3</w:t>
          </w:r>
          <w:r>
            <w:rPr>
              <w:rFonts w:eastAsia="Calibri"/>
              <w:color w:val="000000"/>
              <w:lang w:eastAsia="en-US"/>
            </w:rPr>
            <w:t xml:space="preserve"> году объем производства продукции сельского хозяйства в хозяйствах всех категорий составил 154,14</w:t>
          </w:r>
          <w:r>
            <w:rPr>
              <w:color w:val="000000"/>
              <w:lang w:eastAsia="zh-CN"/>
            </w:rPr>
            <w:t xml:space="preserve"> </w:t>
          </w:r>
          <w:r>
            <w:rPr>
              <w:rFonts w:eastAsia="Calibri"/>
              <w:color w:val="000000"/>
              <w:lang w:eastAsia="en-US"/>
            </w:rPr>
            <w:t xml:space="preserve">млрд. рублей или </w:t>
          </w:r>
          <w:r>
            <w:rPr>
              <w:color w:val="000000"/>
              <w:lang w:eastAsia="zh-CN"/>
            </w:rPr>
            <w:t>112,3</w:t>
          </w:r>
          <w:r>
            <w:rPr>
              <w:color w:val="000000"/>
              <w:lang w:eastAsia="en-US"/>
            </w:rPr>
            <w:t xml:space="preserve"> </w:t>
          </w:r>
          <w:r>
            <w:rPr>
              <w:rFonts w:eastAsia="Calibri"/>
              <w:color w:val="000000"/>
              <w:lang w:eastAsia="en-US"/>
            </w:rPr>
            <w:t>процента в сопоставимых ценах к уровню</w:t>
          </w:r>
          <w:r>
            <w:rPr>
              <w:color w:val="000000"/>
              <w:lang w:eastAsia="zh-CN"/>
            </w:rPr>
            <w:t xml:space="preserve"> </w:t>
          </w:r>
          <w:r>
            <w:rPr>
              <w:rFonts w:eastAsia="Calibri"/>
              <w:color w:val="000000"/>
              <w:lang w:eastAsia="en-US"/>
            </w:rPr>
            <w:t>202</w:t>
          </w:r>
          <w:r>
            <w:rPr>
              <w:color w:val="000000"/>
              <w:lang w:eastAsia="zh-CN"/>
            </w:rPr>
            <w:t>2</w:t>
          </w:r>
          <w:r>
            <w:rPr>
              <w:rFonts w:eastAsia="Calibri"/>
              <w:color w:val="000000"/>
              <w:lang w:eastAsia="en-US"/>
            </w:rPr>
            <w:t xml:space="preserve"> года, в том числе продукции растениеводства — 70,57 млрд. рублей (112,1 процента), продукции животноводства — 83,57 млрд. рублей (112,4 процента).</w:t>
          </w:r>
        </w:p>
        <w:p w:rsidR="008E239A" w:rsidRDefault="00D61E62">
          <w:pPr>
            <w:suppressAutoHyphens/>
            <w:jc w:val="both"/>
          </w:pPr>
          <w:r>
            <w:rPr>
              <w:rFonts w:eastAsia="Calibri"/>
              <w:color w:val="000000"/>
              <w:lang w:eastAsia="en-US"/>
            </w:rPr>
            <w:tab/>
            <w:t>Сельхозтоваропроизводителями всех форм собственности за 202</w:t>
          </w:r>
          <w:r>
            <w:rPr>
              <w:color w:val="000000"/>
              <w:lang w:eastAsia="en-US"/>
            </w:rPr>
            <w:t>3</w:t>
          </w:r>
          <w:r>
            <w:rPr>
              <w:rFonts w:eastAsia="Calibri"/>
              <w:color w:val="000000"/>
              <w:lang w:eastAsia="en-US"/>
            </w:rPr>
            <w:t xml:space="preserve"> год произведено мяса (в живом весе) </w:t>
          </w:r>
          <w:r>
            <w:rPr>
              <w:color w:val="000000"/>
              <w:lang w:eastAsia="zh-CN"/>
            </w:rPr>
            <w:t>665,1</w:t>
          </w:r>
          <w:r>
            <w:rPr>
              <w:rFonts w:eastAsia="Calibri"/>
              <w:color w:val="000000"/>
              <w:lang w:eastAsia="en-US"/>
            </w:rPr>
            <w:t xml:space="preserve"> тыс.</w:t>
          </w:r>
          <w:r>
            <w:rPr>
              <w:rFonts w:eastAsia="Calibri"/>
              <w:color w:val="000000"/>
              <w:lang w:eastAsia="en-US"/>
            </w:rPr>
            <w:t xml:space="preserve"> тонн, что составило </w:t>
          </w:r>
          <w:r>
            <w:rPr>
              <w:color w:val="000000"/>
              <w:lang w:eastAsia="zh-CN"/>
            </w:rPr>
            <w:t>117,6</w:t>
          </w:r>
          <w:r>
            <w:rPr>
              <w:rFonts w:eastAsia="Calibri"/>
              <w:color w:val="000000"/>
              <w:lang w:eastAsia="en-US"/>
            </w:rPr>
            <w:t xml:space="preserve"> процента к уровню 202</w:t>
          </w:r>
          <w:r>
            <w:rPr>
              <w:color w:val="000000"/>
              <w:lang w:eastAsia="en-US"/>
            </w:rPr>
            <w:t>2</w:t>
          </w:r>
          <w:r>
            <w:rPr>
              <w:rFonts w:eastAsia="Calibri"/>
              <w:color w:val="000000"/>
              <w:lang w:eastAsia="en-US"/>
            </w:rPr>
            <w:t xml:space="preserve"> года, молока — </w:t>
          </w:r>
          <w:r>
            <w:rPr>
              <w:color w:val="000000"/>
              <w:lang w:eastAsia="zh-CN"/>
            </w:rPr>
            <w:t>324,5</w:t>
          </w:r>
          <w:r>
            <w:rPr>
              <w:color w:val="000000"/>
              <w:lang w:eastAsia="en-US"/>
            </w:rPr>
            <w:t xml:space="preserve"> </w:t>
          </w:r>
          <w:r>
            <w:rPr>
              <w:rFonts w:eastAsia="Calibri"/>
              <w:color w:val="000000"/>
              <w:lang w:eastAsia="en-US"/>
            </w:rPr>
            <w:t>тыс. тонн (</w:t>
          </w:r>
          <w:r>
            <w:rPr>
              <w:color w:val="000000"/>
              <w:lang w:eastAsia="en-US"/>
            </w:rPr>
            <w:t>106,5</w:t>
          </w:r>
          <w:r>
            <w:rPr>
              <w:rFonts w:eastAsia="Calibri"/>
              <w:color w:val="000000"/>
              <w:lang w:eastAsia="en-US"/>
            </w:rPr>
            <w:t xml:space="preserve"> процента). Н</w:t>
          </w:r>
          <w:r>
            <w:rPr>
              <w:rFonts w:eastAsia="Calibri"/>
              <w:color w:val="000000"/>
              <w:spacing w:val="-1"/>
              <w:lang w:eastAsia="en-US"/>
            </w:rPr>
            <w:t xml:space="preserve">амолочено </w:t>
          </w:r>
          <w:r>
            <w:rPr>
              <w:color w:val="000000"/>
              <w:spacing w:val="-1"/>
              <w:lang w:eastAsia="en-US"/>
            </w:rPr>
            <w:t xml:space="preserve">зерна </w:t>
          </w:r>
          <w:r>
            <w:rPr>
              <w:rFonts w:eastAsia="Calibri"/>
              <w:color w:val="000000"/>
              <w:spacing w:val="-1"/>
              <w:lang w:eastAsia="en-US"/>
            </w:rPr>
            <w:t>(в первоначально - оприходованном весе) 2320,6 тыс. тонн или 112,9</w:t>
          </w:r>
          <w:r>
            <w:rPr>
              <w:color w:val="000000"/>
              <w:spacing w:val="-1"/>
              <w:lang w:eastAsia="en-US"/>
            </w:rPr>
            <w:t xml:space="preserve"> </w:t>
          </w:r>
          <w:r>
            <w:rPr>
              <w:rFonts w:eastAsia="Calibri"/>
              <w:color w:val="000000"/>
              <w:spacing w:val="-1"/>
              <w:lang w:eastAsia="en-US"/>
            </w:rPr>
            <w:t xml:space="preserve">процента </w:t>
          </w:r>
          <w:r>
            <w:rPr>
              <w:color w:val="000000"/>
              <w:spacing w:val="-1"/>
              <w:lang w:eastAsia="en-US"/>
            </w:rPr>
            <w:t xml:space="preserve">к уровню 2022 </w:t>
          </w:r>
          <w:r>
            <w:rPr>
              <w:rFonts w:eastAsia="Calibri"/>
              <w:color w:val="000000"/>
              <w:spacing w:val="-1"/>
              <w:lang w:eastAsia="en-US"/>
            </w:rPr>
            <w:t>года, накопано картофеля 1833,0</w:t>
          </w:r>
          <w:r>
            <w:rPr>
              <w:color w:val="000000"/>
              <w:spacing w:val="-1"/>
              <w:lang w:eastAsia="en-US"/>
            </w:rPr>
            <w:t xml:space="preserve"> </w:t>
          </w:r>
          <w:r>
            <w:rPr>
              <w:rFonts w:eastAsia="Calibri"/>
              <w:color w:val="000000"/>
              <w:spacing w:val="-1"/>
              <w:lang w:eastAsia="en-US"/>
            </w:rPr>
            <w:t>тыс. тонн (</w:t>
          </w:r>
          <w:r>
            <w:rPr>
              <w:color w:val="000000"/>
              <w:spacing w:val="-1"/>
              <w:lang w:eastAsia="en-US"/>
            </w:rPr>
            <w:t>145,8</w:t>
          </w:r>
          <w:r>
            <w:rPr>
              <w:rFonts w:eastAsia="Calibri"/>
              <w:color w:val="000000"/>
              <w:spacing w:val="-1"/>
              <w:lang w:eastAsia="en-US"/>
            </w:rPr>
            <w:t xml:space="preserve"> процента), собрано овощей – 117,9 тыс. тонн (104,3 процента).</w:t>
          </w:r>
        </w:p>
        <w:p w:rsidR="008E239A" w:rsidRDefault="00D61E62">
          <w:pPr>
            <w:suppressAutoHyphens/>
            <w:jc w:val="both"/>
          </w:pPr>
          <w:r>
            <w:rPr>
              <w:rFonts w:eastAsia="Calibri"/>
              <w:color w:val="000000"/>
              <w:lang w:eastAsia="en-US"/>
            </w:rPr>
            <w:tab/>
          </w:r>
          <w:r>
            <w:rPr>
              <w:rStyle w:val="af0"/>
              <w:rFonts w:eastAsia="Calibri"/>
              <w:i w:val="0"/>
              <w:iCs w:val="0"/>
              <w:color w:val="000000"/>
              <w:spacing w:val="-1"/>
            </w:rPr>
            <w:t>Рост объемов производства продукции сельского хозяйства обусловлен реализацией крупных инвестиционных проектов в отрасли животноводства и растениеводства, широким применением прогрессивных тех</w:t>
          </w:r>
          <w:r>
            <w:rPr>
              <w:rStyle w:val="af0"/>
              <w:rFonts w:eastAsia="Calibri"/>
              <w:i w:val="0"/>
              <w:iCs w:val="0"/>
              <w:color w:val="000000"/>
              <w:spacing w:val="-1"/>
            </w:rPr>
            <w:t>нологий, государственной поддержкой агропромышленного комплекса.</w:t>
          </w:r>
        </w:p>
        <w:p w:rsidR="008E239A" w:rsidRDefault="00D61E62">
          <w:pPr>
            <w:shd w:val="clear" w:color="auto" w:fill="FFFFFF"/>
            <w:ind w:firstLine="709"/>
            <w:jc w:val="both"/>
          </w:pPr>
          <w:r>
            <w:rPr>
              <w:color w:val="000000"/>
              <w:lang w:eastAsia="zh-CN"/>
            </w:rPr>
            <w:lastRenderedPageBreak/>
            <w:t>Брянская область единственная в стране реализует инвестиционный проект предприятия «Эндофарм» и Минпромторга России по выращиванию опийного м</w:t>
          </w:r>
          <w:r>
            <w:rPr>
              <w:color w:val="000000"/>
              <w:lang w:eastAsia="zh-CN"/>
            </w:rPr>
            <w:t>а</w:t>
          </w:r>
          <w:r>
            <w:rPr>
              <w:color w:val="000000"/>
              <w:lang w:eastAsia="zh-CN"/>
            </w:rPr>
            <w:t xml:space="preserve">ка для фармацевтической промышленности. </w:t>
          </w:r>
        </w:p>
        <w:p w:rsidR="008E239A" w:rsidRDefault="00D61E62">
          <w:pPr>
            <w:ind w:firstLine="709"/>
            <w:jc w:val="both"/>
          </w:pPr>
          <w:r>
            <w:t>АО «Пога</w:t>
          </w:r>
          <w:r>
            <w:t>рская картофельная фабрика» проведена модернизация картофел</w:t>
          </w:r>
          <w:r>
            <w:t>е</w:t>
          </w:r>
          <w:r>
            <w:t>хранилища на 7 тыс. тонн единовременного хранения.</w:t>
          </w:r>
        </w:p>
        <w:p w:rsidR="008E239A" w:rsidRDefault="00D61E62">
          <w:pPr>
            <w:ind w:firstLine="709"/>
            <w:jc w:val="both"/>
          </w:pPr>
          <w:r>
            <w:t xml:space="preserve">ИП глава К(Ф)Х Стародубец А.В. построено </w:t>
          </w:r>
          <w:r>
            <w:rPr>
              <w:rFonts w:eastAsia="MS Mincho;ＭＳ 明朝"/>
              <w:color w:val="000000"/>
              <w:lang w:eastAsia="ja-JP"/>
            </w:rPr>
            <w:t>четыре</w:t>
          </w:r>
          <w:r>
            <w:t xml:space="preserve"> картофелехранилища на 3,9 тыс. тонн каждое. Всего в области имеется картофелехранилищ мощностью единовременного хранения 750 тыс. тонн. </w:t>
          </w:r>
        </w:p>
        <w:p w:rsidR="008E239A" w:rsidRDefault="00D61E62">
          <w:pPr>
            <w:ind w:firstLine="709"/>
            <w:jc w:val="both"/>
          </w:pPr>
          <w:r>
            <w:t>ООО «Сельхозник», ООО «Брянский сад» и ИП глава К(Ф)Х Махунь Р.В. вели строительство плодохранилищ, общая мощность кот</w:t>
          </w:r>
          <w:r>
            <w:t xml:space="preserve">орых составляет 7,6 тыс. тонн единовременного хранения. </w:t>
          </w:r>
        </w:p>
        <w:p w:rsidR="008E239A" w:rsidRDefault="00D61E62">
          <w:pPr>
            <w:ind w:firstLine="709"/>
            <w:jc w:val="both"/>
          </w:pPr>
          <w:r>
            <w:t>В 2023 году продолжено строительство второй роботизированной фермы на 500 коров в АО «Железнодорожник», строительство четырех телятников для в</w:t>
          </w:r>
          <w:r>
            <w:t>ы</w:t>
          </w:r>
          <w:r>
            <w:t>ращивания и откорма молодняка КРС в ООО «Красный Октябрь</w:t>
          </w:r>
          <w:r>
            <w:t xml:space="preserve">». 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Инвестиционные проекты осуществляются с государственной поддержкой. В 2023 году ООО «Дружба-2» предоставлена поддержка на возмещение части прямых понесенных затрат по строительству </w:t>
          </w:r>
          <w:r>
            <w:rPr>
              <w:rFonts w:eastAsia="MS Mincho;ＭＳ 明朝"/>
              <w:color w:val="000000"/>
              <w:lang w:eastAsia="ja-JP"/>
            </w:rPr>
            <w:t>второй</w:t>
          </w:r>
          <w:r>
            <w:t xml:space="preserve"> очереди животноводческого комплекса на 3600 голов дойного стада </w:t>
          </w:r>
          <w:r>
            <w:t xml:space="preserve">со шлейфом молодняка в размере более 80 млн. рублей. </w:t>
          </w:r>
        </w:p>
        <w:p w:rsidR="008E239A" w:rsidRDefault="008E239A">
          <w:pPr>
            <w:suppressAutoHyphens/>
            <w:ind w:firstLine="709"/>
            <w:jc w:val="both"/>
            <w:rPr>
              <w:b/>
            </w:rPr>
          </w:pPr>
        </w:p>
        <w:p w:rsidR="008E239A" w:rsidRDefault="00D61E62">
          <w:pPr>
            <w:tabs>
              <w:tab w:val="left" w:pos="1080"/>
            </w:tabs>
            <w:suppressAutoHyphens/>
            <w:ind w:firstLine="567"/>
            <w:jc w:val="both"/>
          </w:pPr>
          <w:r>
            <w:rPr>
              <w:b/>
              <w:bCs/>
            </w:rPr>
            <w:t>5. Доля прибыльных сельскохозяйственных организаций в общем их числе (процентов)</w:t>
          </w:r>
        </w:p>
        <w:p w:rsidR="008E239A" w:rsidRDefault="00D61E62">
          <w:pPr>
            <w:tabs>
              <w:tab w:val="left" w:pos="0"/>
            </w:tabs>
            <w:suppressAutoHyphens/>
            <w:ind w:firstLine="720"/>
            <w:jc w:val="both"/>
          </w:pPr>
          <w:r>
            <w:rPr>
              <w:color w:val="000000"/>
            </w:rPr>
            <w:t>В 2023 году значение показателя составило в среднем по области 64,71</w:t>
          </w:r>
          <w:r>
            <w:rPr>
              <w:color w:val="000000"/>
            </w:rPr>
            <w:t>%</w:t>
          </w:r>
          <w:r>
            <w:rPr>
              <w:color w:val="000000"/>
            </w:rPr>
            <w:t xml:space="preserve">, что на </w:t>
          </w:r>
          <w:r>
            <w:rPr>
              <w:color w:val="000000"/>
            </w:rPr>
            <w:t>14,64</w:t>
          </w:r>
          <w:r>
            <w:rPr>
              <w:color w:val="000000"/>
            </w:rPr>
            <w:t xml:space="preserve"> </w:t>
          </w:r>
          <w:r>
            <w:rPr>
              <w:color w:val="000000"/>
            </w:rPr>
            <w:t>п.п.</w:t>
          </w:r>
          <w:r>
            <w:rPr>
              <w:color w:val="000000"/>
            </w:rPr>
            <w:t xml:space="preserve"> </w:t>
          </w:r>
          <w:r>
            <w:rPr>
              <w:color w:val="000000"/>
            </w:rPr>
            <w:t>меньше</w:t>
          </w:r>
          <w:r>
            <w:rPr>
              <w:color w:val="000000"/>
            </w:rPr>
            <w:t xml:space="preserve"> уровня 2022 года. </w:t>
          </w:r>
          <w:bookmarkStart w:id="2" w:name="page59R_mcid2"/>
          <w:bookmarkEnd w:id="2"/>
          <w:r>
            <w:rPr>
              <w:color w:val="000000"/>
            </w:rPr>
            <w:t>Основными п</w:t>
          </w:r>
          <w:r>
            <w:rPr>
              <w:color w:val="000000"/>
            </w:rPr>
            <w:t xml:space="preserve">ричинами </w:t>
          </w:r>
          <w:r>
            <w:rPr>
              <w:color w:val="000000"/>
            </w:rPr>
            <w:t>снижения</w:t>
          </w:r>
          <w:r>
            <w:rPr>
              <w:color w:val="000000"/>
            </w:rPr>
            <w:t xml:space="preserve"> показателя в некоторых муниципальных районах</w:t>
          </w:r>
          <w:bookmarkStart w:id="3" w:name="page59R_mcid3"/>
          <w:bookmarkEnd w:id="3"/>
          <w:r>
            <w:rPr>
              <w:color w:val="000000"/>
            </w:rPr>
            <w:t xml:space="preserve"> </w:t>
          </w:r>
          <w:r>
            <w:rPr>
              <w:color w:val="000000"/>
            </w:rPr>
            <w:t>является уменьшение</w:t>
          </w:r>
          <w:r>
            <w:rPr>
              <w:color w:val="000000"/>
            </w:rPr>
            <w:t xml:space="preserve"> посевных площадей сельскохозяйственных культур, занятых </w:t>
          </w:r>
          <w:r>
            <w:rPr>
              <w:color w:val="000000"/>
            </w:rPr>
            <w:t xml:space="preserve">зерновыми </w:t>
          </w:r>
          <w:r>
            <w:rPr>
              <w:color w:val="000000"/>
            </w:rPr>
            <w:t xml:space="preserve">и </w:t>
          </w:r>
          <w:r>
            <w:rPr>
              <w:color w:val="000000"/>
            </w:rPr>
            <w:t>кормовыми культурами</w:t>
          </w:r>
          <w:r>
            <w:rPr>
              <w:color w:val="000000"/>
            </w:rPr>
            <w:t xml:space="preserve">. </w:t>
          </w:r>
        </w:p>
        <w:p w:rsidR="008E239A" w:rsidRDefault="00D61E62">
          <w:pPr>
            <w:tabs>
              <w:tab w:val="left" w:pos="0"/>
            </w:tabs>
            <w:suppressAutoHyphens/>
            <w:ind w:firstLine="720"/>
            <w:jc w:val="both"/>
          </w:pPr>
          <w:r>
            <w:rPr>
              <w:color w:val="000000"/>
            </w:rPr>
            <w:t>В отчетном периоде значение данного показателя составляет 100 процентов</w:t>
          </w:r>
          <w:r>
            <w:rPr>
              <w:color w:val="000000"/>
            </w:rPr>
            <w:t xml:space="preserve"> и превышает средний показатель по </w:t>
          </w:r>
          <w:r>
            <w:rPr>
              <w:color w:val="000000"/>
            </w:rPr>
            <w:t>региону</w:t>
          </w:r>
          <w:r>
            <w:rPr>
              <w:color w:val="000000"/>
            </w:rPr>
            <w:t xml:space="preserve"> в </w:t>
          </w:r>
          <w:r>
            <w:rPr>
              <w:color w:val="000000"/>
            </w:rPr>
            <w:t>10</w:t>
          </w:r>
          <w:r>
            <w:rPr>
              <w:color w:val="000000"/>
            </w:rPr>
            <w:t xml:space="preserve"> муниципальных </w:t>
          </w:r>
          <w:r>
            <w:rPr>
              <w:color w:val="000000"/>
            </w:rPr>
            <w:t>образованиях</w:t>
          </w:r>
          <w:r>
            <w:rPr>
              <w:color w:val="000000"/>
            </w:rPr>
            <w:t xml:space="preserve"> Брянской области: в городском округе г. Новозыбков, в Брасовском, Дубровском, Дять</w:t>
          </w:r>
          <w:r>
            <w:rPr>
              <w:color w:val="000000"/>
            </w:rPr>
            <w:t>ковском, Злынковском, Климовском, Клинцовском, Комаричском, Мглинском,  Унечском муниципальных райо</w:t>
          </w:r>
          <w:r>
            <w:rPr>
              <w:color w:val="000000"/>
            </w:rPr>
            <w:t>нах.</w:t>
          </w:r>
        </w:p>
        <w:p w:rsidR="008E239A" w:rsidRDefault="00D61E62">
          <w:pPr>
            <w:tabs>
              <w:tab w:val="left" w:pos="0"/>
            </w:tabs>
            <w:suppressAutoHyphens/>
            <w:ind w:firstLine="720"/>
            <w:jc w:val="both"/>
          </w:pPr>
          <w:r>
            <w:t xml:space="preserve">По итогам 2023 года рост данного показателя отмечен в </w:t>
          </w:r>
          <w:r>
            <w:rPr>
              <w:color w:val="000000"/>
            </w:rPr>
            <w:t>Жуковском муниципальном округе (на 15,0 п.п.), Клинцовском муниципальном районе (на 40,0 п.п.).</w:t>
          </w:r>
          <w:r>
            <w:t xml:space="preserve"> </w:t>
          </w:r>
        </w:p>
        <w:p w:rsidR="008E239A" w:rsidRDefault="00D61E62">
          <w:pPr>
            <w:tabs>
              <w:tab w:val="left" w:pos="0"/>
            </w:tabs>
            <w:suppressAutoHyphens/>
            <w:ind w:firstLine="720"/>
            <w:jc w:val="both"/>
          </w:pPr>
          <w:r>
            <w:rPr>
              <w:color w:val="000000"/>
            </w:rPr>
            <w:t>Доля прибыльных сельскохозяйственных организаций в Брасовском (100,0%), Брянском (83,3%), Гордеевско</w:t>
          </w:r>
          <w:r>
            <w:rPr>
              <w:color w:val="000000"/>
            </w:rPr>
            <w:t xml:space="preserve">м (86,0%), Дубровском (100,0%), Дятьковском (100,0%), Злынковском (100,0%), Климовском (100,0%), Комаричском (100,0%), Мглинском (100,05), </w:t>
          </w:r>
          <w:r>
            <w:rPr>
              <w:color w:val="000000"/>
            </w:rPr>
            <w:t xml:space="preserve">Трубчевском (66,7%) </w:t>
          </w:r>
          <w:r>
            <w:rPr>
              <w:color w:val="000000"/>
            </w:rPr>
            <w:t xml:space="preserve">и Унечском (100,0%) муниципальных районах в 2023 году </w:t>
          </w:r>
          <w:r>
            <w:rPr>
              <w:color w:val="000000"/>
            </w:rPr>
            <w:t>не изменилась и осталась</w:t>
          </w:r>
          <w:r>
            <w:rPr>
              <w:color w:val="000000"/>
            </w:rPr>
            <w:t xml:space="preserve"> на уровне 2022 год</w:t>
          </w:r>
          <w:r>
            <w:rPr>
              <w:color w:val="000000"/>
            </w:rPr>
            <w:t>а.</w:t>
          </w:r>
        </w:p>
        <w:p w:rsidR="008E239A" w:rsidRDefault="008E239A">
          <w:pPr>
            <w:tabs>
              <w:tab w:val="left" w:pos="0"/>
            </w:tabs>
            <w:suppressAutoHyphens/>
            <w:ind w:firstLine="720"/>
            <w:jc w:val="both"/>
            <w:rPr>
              <w:b/>
              <w:bCs/>
            </w:rPr>
          </w:pPr>
        </w:p>
        <w:p w:rsidR="008E239A" w:rsidRDefault="00D61E62">
          <w:pPr>
            <w:tabs>
              <w:tab w:val="left" w:pos="1134"/>
            </w:tabs>
            <w:suppressAutoHyphens/>
            <w:jc w:val="center"/>
          </w:pPr>
          <w:r>
            <w:rPr>
              <w:u w:val="single"/>
            </w:rPr>
            <w:t>Перечень мероприятий по повышению результативности деятельности органов местного самоуправления городских округов и муниципальных районов Брянской области по направлению «Сельское хозяйство»</w:t>
          </w:r>
        </w:p>
        <w:p w:rsidR="008E239A" w:rsidRDefault="008E239A">
          <w:pPr>
            <w:suppressAutoHyphens/>
            <w:jc w:val="center"/>
            <w:rPr>
              <w:sz w:val="24"/>
              <w:szCs w:val="24"/>
              <w:u w:val="single"/>
            </w:rPr>
          </w:pPr>
        </w:p>
        <w:p w:rsidR="008E239A" w:rsidRDefault="00D61E62">
          <w:pPr>
            <w:widowControl w:val="0"/>
            <w:numPr>
              <w:ilvl w:val="0"/>
              <w:numId w:val="5"/>
            </w:numPr>
            <w:tabs>
              <w:tab w:val="left" w:pos="1134"/>
            </w:tabs>
            <w:suppressAutoHyphens/>
            <w:ind w:left="0" w:right="-2" w:firstLine="720"/>
            <w:jc w:val="both"/>
          </w:pPr>
          <w:r>
            <w:rPr>
              <w:rFonts w:cs="Arial"/>
            </w:rPr>
            <w:lastRenderedPageBreak/>
            <w:t>С</w:t>
          </w:r>
          <w:r>
            <w:t xml:space="preserve">оздание благоприятного инвестиционного климата в сельскохозяйственной отрасли, в том числе путем информирования потенциальных инвесторов о социально-экономическом потенциале </w:t>
          </w:r>
          <w:r>
            <w:rPr>
              <w:color w:val="000000"/>
            </w:rPr>
            <w:t>муниципального образования</w:t>
          </w:r>
          <w:r>
            <w:t>, создания условий для привлечения инвестиций. Сопровожд</w:t>
          </w:r>
          <w:r>
            <w:t>ение реализации инвестиционных проектов в отрасли.</w:t>
          </w:r>
        </w:p>
        <w:p w:rsidR="008E239A" w:rsidRDefault="00D61E62">
          <w:pPr>
            <w:numPr>
              <w:ilvl w:val="0"/>
              <w:numId w:val="5"/>
            </w:numPr>
            <w:tabs>
              <w:tab w:val="left" w:pos="1134"/>
            </w:tabs>
            <w:suppressAutoHyphens/>
            <w:ind w:left="0" w:firstLine="709"/>
            <w:jc w:val="both"/>
          </w:pPr>
          <w:r>
            <w:rPr>
              <w:color w:val="000000"/>
            </w:rPr>
            <w:t>Сохранение и увеличение</w:t>
          </w:r>
          <w:r>
            <w:t xml:space="preserve"> посевных площадей сельскохозяйственных культур, соблюдение технологии выращивания сельскохозяйственных растений, увеличение производства продукции растениеводства. </w:t>
          </w:r>
        </w:p>
        <w:p w:rsidR="008E239A" w:rsidRDefault="00D61E62">
          <w:pPr>
            <w:numPr>
              <w:ilvl w:val="0"/>
              <w:numId w:val="5"/>
            </w:numPr>
            <w:tabs>
              <w:tab w:val="left" w:pos="1134"/>
            </w:tabs>
            <w:suppressAutoHyphens/>
            <w:ind w:left="0" w:firstLine="709"/>
            <w:jc w:val="both"/>
          </w:pPr>
          <w:r>
            <w:rPr>
              <w:color w:val="000000"/>
            </w:rPr>
            <w:t>С</w:t>
          </w:r>
          <w:r>
            <w:t>овершенствовани</w:t>
          </w:r>
          <w:r>
            <w:t>е технологий содержания скота путем внедрения новых прогрессивных технологий и модернизации имеющихся производств, сохранение и увеличение численности сельскохозяйственных животных, достижение приростов объема производства скота и птицы на убой и производс</w:t>
          </w:r>
          <w:r>
            <w:t>тва молока с увеличением продуктивных качеств скота.</w:t>
          </w:r>
        </w:p>
        <w:p w:rsidR="008E239A" w:rsidRDefault="00D61E62">
          <w:pPr>
            <w:numPr>
              <w:ilvl w:val="0"/>
              <w:numId w:val="5"/>
            </w:numPr>
            <w:tabs>
              <w:tab w:val="left" w:pos="1134"/>
            </w:tabs>
            <w:suppressAutoHyphens/>
            <w:ind w:left="0" w:right="-2" w:firstLine="720"/>
            <w:jc w:val="both"/>
          </w:pPr>
          <w:r>
            <w:t xml:space="preserve">Ввод в оборот земель </w:t>
          </w:r>
          <w:r>
            <w:t>сельскохозяйственного назначения</w:t>
          </w:r>
          <w:r>
            <w:t>, их эффективное использование, сохранение и повышение плодородия почв.</w:t>
          </w:r>
        </w:p>
        <w:p w:rsidR="008E239A" w:rsidRDefault="008E239A">
          <w:pPr>
            <w:tabs>
              <w:tab w:val="left" w:pos="1134"/>
            </w:tabs>
            <w:suppressAutoHyphens/>
            <w:ind w:left="1770" w:right="-2"/>
            <w:jc w:val="both"/>
          </w:pPr>
        </w:p>
        <w:p w:rsidR="008E239A" w:rsidRDefault="00D61E62">
          <w:pPr>
            <w:suppressAutoHyphens/>
            <w:ind w:firstLine="709"/>
            <w:contextualSpacing/>
            <w:jc w:val="center"/>
          </w:pPr>
          <w:r>
            <w:rPr>
              <w:b/>
              <w:color w:val="000000"/>
            </w:rPr>
            <w:t>Дорожное хозяйство и транспорт</w:t>
          </w:r>
        </w:p>
        <w:p w:rsidR="008E239A" w:rsidRDefault="008E239A">
          <w:pPr>
            <w:suppressAutoHyphens/>
            <w:ind w:firstLine="709"/>
            <w:contextualSpacing/>
            <w:jc w:val="center"/>
          </w:pPr>
        </w:p>
        <w:p w:rsidR="008E239A" w:rsidRDefault="00D61E62">
          <w:pPr>
            <w:suppressAutoHyphens/>
            <w:jc w:val="both"/>
          </w:pPr>
          <w:r>
            <w:rPr>
              <w:rFonts w:eastAsia="Calibri"/>
              <w:lang w:eastAsia="en-US"/>
            </w:rPr>
            <w:tab/>
            <w:t xml:space="preserve">В 2023 году </w:t>
          </w:r>
          <w:r>
            <w:rPr>
              <w:rFonts w:eastAsia="Calibri"/>
              <w:color w:val="000000"/>
              <w:lang w:eastAsia="en-US"/>
            </w:rPr>
            <w:t>з</w:t>
          </w:r>
          <w:r>
            <w:rPr>
              <w:color w:val="000000"/>
              <w:spacing w:val="1"/>
              <w:lang w:eastAsia="zh-CN"/>
            </w:rPr>
            <w:t>а счет</w:t>
          </w:r>
          <w:r>
            <w:rPr>
              <w:rFonts w:eastAsia="Calibri"/>
              <w:spacing w:val="1"/>
              <w:lang w:eastAsia="en-US"/>
            </w:rPr>
            <w:t xml:space="preserve"> </w:t>
          </w:r>
          <w:r>
            <w:rPr>
              <w:color w:val="000000"/>
              <w:spacing w:val="1"/>
              <w:lang w:eastAsia="zh-CN"/>
            </w:rPr>
            <w:t>средств дорожного фонда</w:t>
          </w:r>
          <w:r>
            <w:rPr>
              <w:rFonts w:eastAsia="Calibri"/>
              <w:spacing w:val="1"/>
              <w:lang w:eastAsia="en-US"/>
            </w:rPr>
            <w:t xml:space="preserve"> </w:t>
          </w:r>
          <w:r>
            <w:rPr>
              <w:rFonts w:eastAsia="Calibri"/>
              <w:lang w:eastAsia="en-US"/>
            </w:rPr>
            <w:t>достроены: Славянский мост на</w:t>
          </w:r>
          <w:r>
            <w:rPr>
              <w:rFonts w:eastAsia="Calibri"/>
              <w:spacing w:val="1"/>
              <w:lang w:eastAsia="en-US"/>
            </w:rPr>
            <w:t xml:space="preserve"> </w:t>
          </w:r>
          <w:r>
            <w:rPr>
              <w:rFonts w:eastAsia="Calibri"/>
              <w:lang w:eastAsia="en-US"/>
            </w:rPr>
            <w:t>автомобильной</w:t>
          </w:r>
          <w:r>
            <w:rPr>
              <w:rFonts w:eastAsia="Calibri"/>
              <w:spacing w:val="1"/>
              <w:lang w:eastAsia="en-US"/>
            </w:rPr>
            <w:t xml:space="preserve"> </w:t>
          </w:r>
          <w:r>
            <w:rPr>
              <w:rFonts w:eastAsia="Calibri"/>
              <w:lang w:eastAsia="en-US"/>
            </w:rPr>
            <w:t xml:space="preserve">дороге — защитной дамбе Брянск 1 - Брянск 2, </w:t>
          </w:r>
          <w:r>
            <w:rPr>
              <w:rStyle w:val="FontStyle21"/>
              <w:rFonts w:eastAsia="Calibri"/>
              <w:iCs/>
              <w:lang w:eastAsia="en-US"/>
            </w:rPr>
            <w:t>проезд к школе № 72 от ул. Романа Брянского до дома № 5 по ул. Счастливой, проезд до дома №14 по ул. Романа Брянского в Советском районе г. Брянска,</w:t>
          </w:r>
          <w:r>
            <w:rPr>
              <w:rFonts w:eastAsia="Calibri"/>
              <w:iCs/>
              <w:lang w:eastAsia="en-US"/>
            </w:rPr>
            <w:t xml:space="preserve"> </w:t>
          </w:r>
          <w:r>
            <w:rPr>
              <w:rStyle w:val="FontStyle21"/>
              <w:rFonts w:eastAsia="Calibri"/>
              <w:iCs/>
              <w:lang w:eastAsia="en-US"/>
            </w:rPr>
            <w:t>автомобильные доро</w:t>
          </w:r>
          <w:r>
            <w:rPr>
              <w:rStyle w:val="FontStyle21"/>
              <w:rFonts w:eastAsia="Calibri"/>
              <w:iCs/>
              <w:lang w:eastAsia="en-US"/>
            </w:rPr>
            <w:t>ги в ГУП ОНО ОПХ «Черемушки» в д. Дубровка Брянского района Брянской области (5 этап)</w:t>
          </w:r>
          <w:r>
            <w:rPr>
              <w:rFonts w:eastAsia="Calibri"/>
              <w:lang w:eastAsia="en-US"/>
            </w:rPr>
            <w:t xml:space="preserve"> (улично-дорожная сеть, на территории</w:t>
          </w:r>
          <w:r>
            <w:rPr>
              <w:rFonts w:eastAsia="Calibri"/>
              <w:spacing w:val="1"/>
              <w:lang w:eastAsia="en-US"/>
            </w:rPr>
            <w:t xml:space="preserve"> </w:t>
          </w:r>
          <w:r>
            <w:rPr>
              <w:rFonts w:eastAsia="Calibri"/>
              <w:lang w:eastAsia="en-US"/>
            </w:rPr>
            <w:t>предоставления</w:t>
          </w:r>
          <w:r>
            <w:rPr>
              <w:rFonts w:eastAsia="Calibri"/>
              <w:spacing w:val="-1"/>
              <w:lang w:eastAsia="en-US"/>
            </w:rPr>
            <w:t xml:space="preserve"> </w:t>
          </w:r>
          <w:r>
            <w:rPr>
              <w:rFonts w:eastAsia="Calibri"/>
              <w:lang w:eastAsia="en-US"/>
            </w:rPr>
            <w:t>участков</w:t>
          </w:r>
          <w:r>
            <w:rPr>
              <w:rFonts w:eastAsia="Calibri"/>
              <w:spacing w:val="-2"/>
              <w:lang w:eastAsia="en-US"/>
            </w:rPr>
            <w:t xml:space="preserve"> </w:t>
          </w:r>
          <w:r>
            <w:rPr>
              <w:rFonts w:eastAsia="Calibri"/>
              <w:lang w:eastAsia="en-US"/>
            </w:rPr>
            <w:t xml:space="preserve">для многодетных семей). </w:t>
          </w:r>
        </w:p>
        <w:p w:rsidR="008E239A" w:rsidRDefault="00D61E62">
          <w:pPr>
            <w:pStyle w:val="a1"/>
            <w:suppressAutoHyphens/>
            <w:spacing w:after="0"/>
            <w:ind w:firstLine="709"/>
            <w:jc w:val="both"/>
          </w:pPr>
          <w:r>
            <w:rPr>
              <w:sz w:val="28"/>
              <w:szCs w:val="28"/>
            </w:rPr>
            <w:t>За счет бюджетных кредитов завершено строительство улично-дорожной сети</w:t>
          </w:r>
          <w:r>
            <w:rPr>
              <w:spacing w:val="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</w:t>
          </w:r>
          <w:r>
            <w:rPr>
              <w:spacing w:val="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улице</w:t>
          </w:r>
          <w:r>
            <w:rPr>
              <w:spacing w:val="7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Фло</w:t>
          </w:r>
          <w:r>
            <w:rPr>
              <w:sz w:val="28"/>
              <w:szCs w:val="28"/>
            </w:rPr>
            <w:t>тской</w:t>
          </w:r>
          <w:r>
            <w:rPr>
              <w:spacing w:val="7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в</w:t>
          </w:r>
          <w:r>
            <w:rPr>
              <w:spacing w:val="70"/>
              <w:sz w:val="28"/>
              <w:szCs w:val="28"/>
            </w:rPr>
            <w:t xml:space="preserve"> г.</w:t>
          </w:r>
          <w:r>
            <w:rPr>
              <w:sz w:val="28"/>
              <w:szCs w:val="28"/>
            </w:rPr>
            <w:t>Брянске</w:t>
          </w:r>
          <w:r>
            <w:rPr>
              <w:spacing w:val="7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и</w:t>
          </w:r>
          <w:r>
            <w:rPr>
              <w:spacing w:val="7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моста</w:t>
          </w:r>
          <w:r>
            <w:rPr>
              <w:spacing w:val="7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через</w:t>
          </w:r>
          <w:r>
            <w:rPr>
              <w:spacing w:val="7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реку</w:t>
          </w:r>
          <w:r>
            <w:rPr>
              <w:spacing w:val="7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Ипуть</w:t>
          </w:r>
          <w:r>
            <w:rPr>
              <w:spacing w:val="70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в</w:t>
          </w:r>
          <w:r>
            <w:rPr>
              <w:spacing w:val="70"/>
              <w:sz w:val="28"/>
              <w:szCs w:val="28"/>
            </w:rPr>
            <w:t xml:space="preserve"> г.</w:t>
          </w:r>
          <w:r>
            <w:rPr>
              <w:sz w:val="28"/>
              <w:szCs w:val="28"/>
            </w:rPr>
            <w:t>Сураже.</w:t>
          </w:r>
          <w:r>
            <w:rPr>
              <w:spacing w:val="-67"/>
              <w:sz w:val="28"/>
              <w:szCs w:val="28"/>
            </w:rPr>
            <w:t xml:space="preserve"> </w:t>
          </w:r>
        </w:p>
        <w:p w:rsidR="008E239A" w:rsidRDefault="00D61E62">
          <w:pPr>
            <w:pStyle w:val="a1"/>
            <w:suppressAutoHyphens/>
            <w:spacing w:after="0"/>
            <w:ind w:firstLine="709"/>
            <w:jc w:val="both"/>
          </w:pPr>
          <w:r>
            <w:rPr>
              <w:sz w:val="28"/>
              <w:szCs w:val="28"/>
            </w:rPr>
            <w:t>В рамках реализации национального проекта «Жилье и городская среда» в 2023 году продолжено</w:t>
          </w:r>
          <w:r>
            <w:rPr>
              <w:spacing w:val="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строительство</w:t>
          </w:r>
          <w:r>
            <w:rPr>
              <w:spacing w:val="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автодороги</w:t>
          </w:r>
          <w:r>
            <w:rPr>
              <w:spacing w:val="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по улице</w:t>
          </w:r>
          <w:r>
            <w:rPr>
              <w:spacing w:val="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Ильи</w:t>
          </w:r>
          <w:r>
            <w:rPr>
              <w:spacing w:val="1"/>
              <w:sz w:val="28"/>
              <w:szCs w:val="28"/>
            </w:rPr>
            <w:t xml:space="preserve"> </w:t>
          </w:r>
          <w:r>
            <w:rPr>
              <w:sz w:val="28"/>
              <w:szCs w:val="28"/>
            </w:rPr>
            <w:t>Иванова в г.Брянске.</w:t>
          </w:r>
          <w:r>
            <w:rPr>
              <w:spacing w:val="1"/>
              <w:sz w:val="28"/>
              <w:szCs w:val="28"/>
            </w:rPr>
            <w:t xml:space="preserve"> Ведется строительство дороги по </w:t>
          </w:r>
          <w:r>
            <w:rPr>
              <w:rStyle w:val="FontStyle21"/>
              <w:iCs/>
            </w:rPr>
            <w:t xml:space="preserve">ул. Николая </w:t>
          </w:r>
          <w:r>
            <w:rPr>
              <w:rStyle w:val="FontStyle21"/>
              <w:iCs/>
            </w:rPr>
            <w:t>Амосова в Советском районе г. Брянска</w:t>
          </w:r>
          <w:r>
            <w:rPr>
              <w:sz w:val="28"/>
              <w:szCs w:val="28"/>
            </w:rPr>
            <w:t>. Реализуется программа восстановления аварийных мостов региона.</w:t>
          </w:r>
        </w:p>
        <w:p w:rsidR="008E239A" w:rsidRDefault="00D61E62">
          <w:pPr>
            <w:suppressAutoHyphens/>
            <w:ind w:firstLine="708"/>
            <w:jc w:val="both"/>
          </w:pPr>
          <w:r>
            <w:t>В 2023 году продолжены мероприятия по обновлению парка пассажирского транспорта предприятий с государственной долей собственности, а также задействованног</w:t>
          </w:r>
          <w:r>
            <w:t xml:space="preserve">о на муниципальных маршрутах в районах области. За счет средств областного бюджета закуплено 27 автобусов различной вместимости. </w:t>
          </w:r>
          <w:r>
            <w:rPr>
              <w:color w:val="000000"/>
              <w:lang w:eastAsia="zh-CN"/>
            </w:rPr>
            <w:t>В</w:t>
          </w:r>
          <w:r>
            <w:t xml:space="preserve"> рамках специальных казначейских кредитов заключено 4 контракта на поставку 79 единиц автобусов.</w:t>
          </w:r>
        </w:p>
        <w:p w:rsidR="008E239A" w:rsidRDefault="00D61E62">
          <w:pPr>
            <w:suppressAutoHyphens/>
            <w:ind w:firstLine="708"/>
            <w:jc w:val="both"/>
          </w:pPr>
          <w:r>
            <w:t>При поддержке Правительства Р</w:t>
          </w:r>
          <w:r>
            <w:t xml:space="preserve">оссийской Федерации </w:t>
          </w:r>
          <w:r>
            <w:rPr>
              <w:color w:val="000000"/>
              <w:lang w:eastAsia="zh-CN"/>
            </w:rPr>
            <w:t>Брянской области</w:t>
          </w:r>
          <w:r>
            <w:t xml:space="preserve"> предоставлен инфраструктурный бюджетный кредит, в рамках которого в 2022-2023 годах реализованы мероприятия по масштабному перевооружению материально-технической базы МУП «Брянское троллейбусное управление», в том числе</w:t>
          </w:r>
          <w:r>
            <w:t xml:space="preserve"> закуплено 100 новых троллейбусов.</w:t>
          </w:r>
        </w:p>
        <w:p w:rsidR="008E239A" w:rsidRDefault="00D61E62">
          <w:pPr>
            <w:shd w:val="clear" w:color="auto" w:fill="FFFFFF"/>
            <w:tabs>
              <w:tab w:val="left" w:pos="660"/>
              <w:tab w:val="right" w:pos="9355"/>
            </w:tabs>
            <w:suppressAutoHyphens/>
            <w:ind w:firstLine="709"/>
            <w:jc w:val="both"/>
          </w:pPr>
          <w:r>
            <w:t xml:space="preserve">Продолжены мероприятия по обновлению объектов инфраструктуры автомобильного транспорта в районах области. В 2023 году произведен </w:t>
          </w:r>
          <w:r>
            <w:lastRenderedPageBreak/>
            <w:t>капитальный ремонт автостанции в г. Клинцы с обустройством прилегающей территории. В 2024 го</w:t>
          </w:r>
          <w:r>
            <w:t>ду планируется завершить капитальный ремонт здания автостанции и прилегающей территории в г. Унече.</w:t>
          </w:r>
        </w:p>
        <w:p w:rsidR="008E239A" w:rsidRDefault="008E239A">
          <w:pPr>
            <w:suppressAutoHyphens/>
            <w:jc w:val="both"/>
          </w:pPr>
        </w:p>
        <w:p w:rsidR="008E239A" w:rsidRDefault="00D61E62">
          <w:pPr>
            <w:pStyle w:val="aff7"/>
            <w:suppressAutoHyphens/>
            <w:spacing w:after="0" w:line="240" w:lineRule="auto"/>
            <w:ind w:left="0" w:firstLine="709"/>
            <w:jc w:val="both"/>
          </w:pPr>
          <w:r>
            <w:rPr>
              <w:rFonts w:ascii="Times New Roman" w:hAnsi="Times New Roman"/>
              <w:b/>
              <w:sz w:val="28"/>
              <w:szCs w:val="28"/>
            </w:rPr>
            <w:t xml:space="preserve">6. Доля протяженности автомобильных дорог общего пользования местного значения, не отвечающих нормативным требованиям, в общей протяженности автомобильных </w:t>
          </w:r>
          <w:r>
            <w:rPr>
              <w:rFonts w:ascii="Times New Roman" w:hAnsi="Times New Roman"/>
              <w:b/>
              <w:sz w:val="28"/>
              <w:szCs w:val="28"/>
            </w:rPr>
            <w:t>дорог общего пользования местного значения (процентов)</w:t>
          </w:r>
        </w:p>
        <w:p w:rsidR="008E239A" w:rsidRDefault="00D61E62">
          <w:pPr>
            <w:tabs>
              <w:tab w:val="left" w:pos="0"/>
            </w:tabs>
            <w:suppressAutoHyphens/>
            <w:ind w:firstLine="709"/>
            <w:contextualSpacing/>
            <w:jc w:val="both"/>
          </w:pPr>
          <w:bookmarkStart w:id="4" w:name="page44R_mcid9"/>
          <w:bookmarkEnd w:id="4"/>
          <w:r>
            <w:t>Доля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 в 2023</w:t>
          </w:r>
          <w:r>
            <w:t xml:space="preserve"> году составила </w:t>
          </w:r>
          <w:r>
            <w:rPr>
              <w:color w:val="000000"/>
            </w:rPr>
            <w:t xml:space="preserve">56,31% и колеблется от 23,7% (Климовский муниципальный район) до 86,8% (Мглинский муниципальный район). </w:t>
          </w:r>
        </w:p>
        <w:p w:rsidR="008E239A" w:rsidRDefault="00D61E62">
          <w:pPr>
            <w:tabs>
              <w:tab w:val="left" w:pos="0"/>
            </w:tabs>
            <w:suppressAutoHyphens/>
            <w:ind w:firstLine="709"/>
            <w:jc w:val="both"/>
          </w:pPr>
          <w:r>
            <w:rPr>
              <w:color w:val="000000"/>
            </w:rPr>
            <w:t xml:space="preserve">Так же лидируют по наилучшему достигнутому значению показателя </w:t>
          </w:r>
          <w:r>
            <w:rPr>
              <w:bCs/>
              <w:color w:val="000000"/>
            </w:rPr>
            <w:t>в группе городских округов  -</w:t>
          </w:r>
          <w:r>
            <w:rPr>
              <w:color w:val="000000"/>
            </w:rPr>
            <w:t xml:space="preserve"> г. Брянск (29,7%), г. Сельцо (51,8%), г. Клинцы (53,1%); в группе муниципальных районов -  Гордеевский (26,6%), Клинцовский (28,8%), Злынковский (29,0%) районы. </w:t>
          </w:r>
        </w:p>
        <w:p w:rsidR="008E239A" w:rsidRDefault="00D61E62">
          <w:pPr>
            <w:tabs>
              <w:tab w:val="left" w:pos="0"/>
            </w:tabs>
            <w:suppressAutoHyphens/>
            <w:ind w:firstLine="709"/>
            <w:contextualSpacing/>
            <w:jc w:val="both"/>
          </w:pPr>
          <w:r>
            <w:t xml:space="preserve">Наименьшие значения показателя </w:t>
          </w:r>
          <w:r>
            <w:rPr>
              <w:color w:val="000000"/>
            </w:rPr>
            <w:t>сложились в</w:t>
          </w:r>
          <w:r>
            <w:t xml:space="preserve"> </w:t>
          </w:r>
          <w:r>
            <w:rPr>
              <w:color w:val="000000"/>
            </w:rPr>
            <w:t>Клетнянском</w:t>
          </w:r>
          <w:r>
            <w:t xml:space="preserve"> (</w:t>
          </w:r>
          <w:r>
            <w:rPr>
              <w:color w:val="000000"/>
            </w:rPr>
            <w:t>83,9</w:t>
          </w:r>
          <w:r>
            <w:t>%), Суражском (81,0%), Навлинском</w:t>
          </w:r>
          <w:r>
            <w:t xml:space="preserve"> (80,0%) муниципальных районах. </w:t>
          </w:r>
        </w:p>
        <w:p w:rsidR="008E239A" w:rsidRDefault="00D61E62">
          <w:pPr>
            <w:tabs>
              <w:tab w:val="left" w:pos="0"/>
            </w:tabs>
            <w:suppressAutoHyphens/>
            <w:ind w:firstLine="709"/>
            <w:jc w:val="both"/>
          </w:pPr>
          <w:r>
            <w:rPr>
              <w:color w:val="000000"/>
            </w:rPr>
            <w:t>В городском округе г. Брянск показатель снизился на 0,3% к уровню 2022 года. В остальных городских округах показатель не изменился и остался на уровне прошлого года.</w:t>
          </w:r>
        </w:p>
        <w:p w:rsidR="008E239A" w:rsidRDefault="00D61E62">
          <w:pPr>
            <w:tabs>
              <w:tab w:val="left" w:pos="0"/>
            </w:tabs>
            <w:suppressAutoHyphens/>
            <w:ind w:firstLine="709"/>
            <w:jc w:val="both"/>
          </w:pPr>
          <w:r>
            <w:rPr>
              <w:color w:val="000000"/>
            </w:rPr>
            <w:t>В группе</w:t>
          </w:r>
          <w:r>
            <w:t xml:space="preserve"> муниципальных районов следует отметить Брасовский, Выгоничский,  Гордеевский, Дубровский, Дятьковский,</w:t>
          </w:r>
          <w:r>
            <w:rPr>
              <w:color w:val="000000"/>
            </w:rPr>
            <w:t xml:space="preserve"> Жирятинский, Жуковский округ, Злынковский, Карачевский, Клетнянский, Климовский, Клинцовский, Комаричский, Мглинский, Погарский, Севский, Суражский, Тру</w:t>
          </w:r>
          <w:r>
            <w:rPr>
              <w:color w:val="000000"/>
            </w:rPr>
            <w:t>бчевский, Унечский,</w:t>
          </w:r>
          <w:r>
            <w:t xml:space="preserve"> </w:t>
          </w:r>
          <w:r>
            <w:rPr>
              <w:color w:val="000000"/>
            </w:rPr>
            <w:t xml:space="preserve">Стародубский муниципальный округ, </w:t>
          </w:r>
          <w:r>
            <w:t xml:space="preserve">в которых наблюдается снижение показателя на величину от </w:t>
          </w:r>
          <w:r>
            <w:rPr>
              <w:color w:val="000000"/>
            </w:rPr>
            <w:t>0,1</w:t>
          </w:r>
          <w:r>
            <w:t xml:space="preserve"> до </w:t>
          </w:r>
          <w:r>
            <w:rPr>
              <w:color w:val="000000"/>
            </w:rPr>
            <w:t>13,1</w:t>
          </w:r>
          <w:r>
            <w:t xml:space="preserve"> п.п. </w:t>
          </w:r>
        </w:p>
        <w:p w:rsidR="008E239A" w:rsidRDefault="00D61E62">
          <w:pPr>
            <w:tabs>
              <w:tab w:val="left" w:pos="0"/>
            </w:tabs>
            <w:suppressAutoHyphens/>
            <w:ind w:firstLine="709"/>
            <w:jc w:val="both"/>
          </w:pPr>
          <w:r>
            <w:t>Положительная тенденция развития показателя обусловлена осуществлением органами местного самоуправления муниципальных образован</w:t>
          </w:r>
          <w:r>
            <w:t xml:space="preserve">ий дорожной деятельности по ремонту и нормативному содержанию в отношении автомобильных дорог общего пользования местного значения. </w:t>
          </w:r>
        </w:p>
        <w:p w:rsidR="008E239A" w:rsidRDefault="00D61E62">
          <w:pPr>
            <w:suppressAutoHyphens/>
            <w:jc w:val="both"/>
          </w:pPr>
          <w:r>
            <w:tab/>
          </w:r>
        </w:p>
        <w:p w:rsidR="008E239A" w:rsidRDefault="00D61E62">
          <w:pPr>
            <w:pStyle w:val="aff7"/>
            <w:suppressAutoHyphens/>
            <w:spacing w:after="0" w:line="240" w:lineRule="auto"/>
            <w:ind w:left="0" w:firstLine="709"/>
            <w:jc w:val="both"/>
          </w:pPr>
          <w:r>
            <w:rPr>
              <w:rFonts w:ascii="Times New Roman" w:hAnsi="Times New Roman"/>
              <w:b/>
              <w:sz w:val="28"/>
              <w:szCs w:val="28"/>
            </w:rPr>
            <w:t>7. Доля населения, проживающего в населенных пунктах, не имеющих регулярного автобусного и (или) железнодорожного сообщен</w:t>
          </w:r>
          <w:r>
            <w:rPr>
              <w:rFonts w:ascii="Times New Roman" w:hAnsi="Times New Roman"/>
              <w:b/>
              <w:sz w:val="28"/>
              <w:szCs w:val="28"/>
            </w:rPr>
            <w:t>ия с административным центром городского округа (муниципального района), в общей численности населения городского округа (муниципального района) (процентов)</w:t>
          </w:r>
        </w:p>
        <w:p w:rsidR="008E239A" w:rsidRDefault="00D61E62">
          <w:pPr>
            <w:widowControl w:val="0"/>
            <w:suppressAutoHyphens/>
            <w:ind w:firstLine="709"/>
            <w:jc w:val="both"/>
          </w:pPr>
          <w:r>
            <w:t xml:space="preserve">Значение показателя </w:t>
          </w:r>
          <w:r>
            <w:rPr>
              <w:iCs/>
            </w:rPr>
            <w:t xml:space="preserve">за отчетный период в </w:t>
          </w:r>
          <w:r>
            <w:rPr>
              <w:iCs/>
              <w:color w:val="000000"/>
            </w:rPr>
            <w:t>среднем</w:t>
          </w:r>
          <w:r>
            <w:rPr>
              <w:iCs/>
            </w:rPr>
            <w:t xml:space="preserve"> по области снизилось с 0,90% в 2022 году до 0,</w:t>
          </w:r>
          <w:r>
            <w:rPr>
              <w:iCs/>
              <w:color w:val="000000"/>
            </w:rPr>
            <w:t>89</w:t>
          </w:r>
          <w:r>
            <w:rPr>
              <w:iCs/>
            </w:rPr>
            <w:t xml:space="preserve">% </w:t>
          </w:r>
          <w:r>
            <w:rPr>
              <w:iCs/>
            </w:rPr>
            <w:t xml:space="preserve">в 2023 году. </w:t>
          </w:r>
        </w:p>
        <w:p w:rsidR="008E239A" w:rsidRDefault="00D61E62">
          <w:pPr>
            <w:pStyle w:val="aff7"/>
            <w:widowControl w:val="0"/>
            <w:suppressAutoHyphens/>
            <w:spacing w:after="0" w:line="240" w:lineRule="auto"/>
            <w:ind w:left="0" w:firstLine="709"/>
            <w:jc w:val="both"/>
          </w:pPr>
          <w:r>
            <w:rPr>
              <w:rFonts w:ascii="Times New Roman" w:hAnsi="Times New Roman"/>
              <w:iCs/>
              <w:sz w:val="28"/>
              <w:szCs w:val="28"/>
            </w:rPr>
            <w:t>Все городские округа, а также Жирятинский, Красногорский, Погарский муниципальные районы имеют регулярное автобусное и (или) железнодорожное сообщение.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Arial" w:cs="Arial"/>
              <w:color w:val="000000"/>
              <w:lang w:eastAsia="en-US"/>
            </w:rPr>
            <w:t xml:space="preserve">По итогам 2023 года показатель снизился к уровню 2022 года в Брасовском, Брянском, </w:t>
          </w:r>
          <w:r>
            <w:rPr>
              <w:rFonts w:eastAsia="Arial" w:cs="Arial"/>
              <w:color w:val="000000"/>
              <w:lang w:eastAsia="en-US"/>
            </w:rPr>
            <w:t>Клетнянском, Комаричском, Рогнединском муниципальных районах.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Arial" w:cs="Arial"/>
              <w:color w:val="000000"/>
              <w:lang w:eastAsia="en-US"/>
            </w:rPr>
            <w:lastRenderedPageBreak/>
            <w:t>Наибольшая доля населения, не имеющего регулярного автобусного и (или) железнодорожного сообщения с административным центром городского округа (муниципального района) проживает в Навлинском (2,5</w:t>
          </w:r>
          <w:r>
            <w:rPr>
              <w:rFonts w:eastAsia="Arial" w:cs="Arial"/>
              <w:color w:val="000000"/>
              <w:lang w:eastAsia="en-US"/>
            </w:rPr>
            <w:t>%), Почепском (2,5%) и Клинцовском (2,2%) муниципальных районах.</w:t>
          </w:r>
        </w:p>
        <w:p w:rsidR="008E239A" w:rsidRDefault="00D61E62">
          <w:pPr>
            <w:tabs>
              <w:tab w:val="left" w:pos="709"/>
            </w:tabs>
            <w:suppressAutoHyphens/>
            <w:jc w:val="both"/>
          </w:pPr>
          <w:r>
            <w:tab/>
          </w:r>
        </w:p>
        <w:p w:rsidR="008E239A" w:rsidRDefault="008E239A">
          <w:pPr>
            <w:tabs>
              <w:tab w:val="left" w:pos="709"/>
            </w:tabs>
            <w:suppressAutoHyphens/>
            <w:jc w:val="both"/>
          </w:pPr>
        </w:p>
        <w:p w:rsidR="008E239A" w:rsidRDefault="008E239A">
          <w:pPr>
            <w:tabs>
              <w:tab w:val="left" w:pos="709"/>
            </w:tabs>
            <w:suppressAutoHyphens/>
            <w:jc w:val="both"/>
          </w:pPr>
        </w:p>
        <w:p w:rsidR="008E239A" w:rsidRDefault="008E239A">
          <w:pPr>
            <w:tabs>
              <w:tab w:val="left" w:pos="709"/>
            </w:tabs>
            <w:suppressAutoHyphens/>
            <w:jc w:val="both"/>
          </w:pPr>
        </w:p>
        <w:p w:rsidR="008E239A" w:rsidRDefault="008E239A">
          <w:pPr>
            <w:tabs>
              <w:tab w:val="left" w:pos="709"/>
            </w:tabs>
            <w:suppressAutoHyphens/>
            <w:jc w:val="both"/>
          </w:pPr>
        </w:p>
        <w:p w:rsidR="008E239A" w:rsidRDefault="00D61E62">
          <w:pPr>
            <w:suppressAutoHyphens/>
            <w:jc w:val="center"/>
          </w:pPr>
          <w:r>
            <w:rPr>
              <w:bCs/>
              <w:color w:val="000000"/>
              <w:u w:val="single"/>
            </w:rPr>
            <w:t>Перечень мероприятий по повышению результативности деятельн</w:t>
          </w:r>
          <w:r>
            <w:rPr>
              <w:bCs/>
              <w:u w:val="single"/>
            </w:rPr>
            <w:t>ости органов местного самоуправления</w:t>
          </w:r>
          <w:r>
            <w:rPr>
              <w:u w:val="single"/>
            </w:rPr>
            <w:t xml:space="preserve"> городских округов и муниципальных районов по разделу «Дорожное хозяйство и транспорт»</w:t>
          </w:r>
        </w:p>
        <w:p w:rsidR="008E239A" w:rsidRDefault="008E239A">
          <w:pPr>
            <w:suppressAutoHyphens/>
            <w:jc w:val="center"/>
            <w:rPr>
              <w:u w:val="single"/>
            </w:rPr>
          </w:pPr>
        </w:p>
        <w:p w:rsidR="008E239A" w:rsidRDefault="00D61E62">
          <w:pPr>
            <w:numPr>
              <w:ilvl w:val="0"/>
              <w:numId w:val="6"/>
            </w:numPr>
            <w:suppressAutoHyphens/>
            <w:ind w:left="0" w:firstLine="709"/>
            <w:jc w:val="both"/>
          </w:pPr>
          <w:r>
            <w:t xml:space="preserve">1. </w:t>
          </w:r>
          <w:r>
            <w:t xml:space="preserve">Составление перспективных планов дорожных работ и перечня первоочередных мероприятий, необходимых для поддержания дорог в нормативном транспортно-эксплуатационном состоянии. </w:t>
          </w:r>
        </w:p>
        <w:p w:rsidR="008E239A" w:rsidRDefault="00D61E62">
          <w:pPr>
            <w:numPr>
              <w:ilvl w:val="0"/>
              <w:numId w:val="6"/>
            </w:numPr>
            <w:suppressAutoHyphens/>
            <w:ind w:left="0" w:firstLine="709"/>
            <w:jc w:val="both"/>
          </w:pPr>
          <w:r>
            <w:t xml:space="preserve">2. </w:t>
          </w:r>
          <w:r>
            <w:rPr>
              <w:color w:val="000000"/>
            </w:rPr>
            <w:t xml:space="preserve">Эффективное использование средств </w:t>
          </w:r>
          <w:r>
            <w:rPr>
              <w:color w:val="000000"/>
            </w:rPr>
            <w:t>дорожного фонда Брянской области для пров</w:t>
          </w:r>
          <w:r>
            <w:rPr>
              <w:color w:val="000000"/>
            </w:rPr>
            <w:t>едения ремонта автомобильных дорог общего пользования местного значения</w:t>
          </w:r>
          <w:r>
            <w:rPr>
              <w:color w:val="000000"/>
            </w:rPr>
            <w:t xml:space="preserve">. </w:t>
          </w:r>
        </w:p>
        <w:p w:rsidR="008E239A" w:rsidRDefault="00D61E62">
          <w:pPr>
            <w:numPr>
              <w:ilvl w:val="0"/>
              <w:numId w:val="6"/>
            </w:numPr>
            <w:suppressAutoHyphens/>
            <w:ind w:left="0" w:firstLine="709"/>
            <w:jc w:val="both"/>
          </w:pPr>
          <w:r>
            <w:t xml:space="preserve">3. </w:t>
          </w:r>
          <w:r>
            <w:t xml:space="preserve">Осуществление контроля обеспечения соответствия </w:t>
          </w:r>
          <w:r>
            <w:rPr>
              <w:color w:val="000000"/>
            </w:rPr>
            <w:t>транспортно-эксплуатационных показателей автомобильных дорог общего пользования местного значения требованиям нормативных документо</w:t>
          </w:r>
          <w:r>
            <w:rPr>
              <w:color w:val="000000"/>
            </w:rPr>
            <w:t>в.</w:t>
          </w:r>
        </w:p>
        <w:p w:rsidR="008E239A" w:rsidRDefault="008E239A">
          <w:pPr>
            <w:numPr>
              <w:ilvl w:val="0"/>
              <w:numId w:val="6"/>
            </w:numPr>
            <w:tabs>
              <w:tab w:val="left" w:pos="709"/>
            </w:tabs>
            <w:suppressAutoHyphens/>
            <w:ind w:left="0" w:firstLine="709"/>
            <w:jc w:val="both"/>
          </w:pPr>
        </w:p>
        <w:p w:rsidR="008E239A" w:rsidRDefault="00D61E62">
          <w:pPr>
            <w:suppressAutoHyphens/>
            <w:spacing w:after="120"/>
            <w:jc w:val="center"/>
          </w:pPr>
          <w:r>
            <w:rPr>
              <w:b/>
            </w:rPr>
            <w:t>Доходы населения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b/>
            </w:rPr>
            <w:t>8. Среднемесячная номинальная начисленная заработная плата работников  крупных и средних предприятий и некоммерческих организаций,  рублей</w:t>
          </w:r>
        </w:p>
        <w:p w:rsidR="008E239A" w:rsidRDefault="00D61E62">
          <w:pPr>
            <w:suppressAutoHyphens/>
            <w:ind w:firstLine="720"/>
            <w:jc w:val="both"/>
          </w:pPr>
          <w:r>
            <w:t xml:space="preserve">Значение показателя за 2023 год увеличилось по сравнению с 2022 годом на </w:t>
          </w:r>
          <w:r>
            <w:rPr>
              <w:color w:val="000000"/>
            </w:rPr>
            <w:t>19,24%</w:t>
          </w:r>
          <w:r>
            <w:t xml:space="preserve"> и составило </w:t>
          </w:r>
          <w:r>
            <w:rPr>
              <w:color w:val="000000"/>
            </w:rPr>
            <w:t xml:space="preserve">44427,46 </w:t>
          </w:r>
          <w:r>
            <w:t xml:space="preserve">рубля, что обусловлено </w:t>
          </w:r>
          <w:r>
            <w:rPr>
              <w:color w:val="000000"/>
            </w:rPr>
            <w:t xml:space="preserve">сохранением </w:t>
          </w:r>
          <w:r>
            <w:t>в бюджетном секторе отдельным категориям работников соотношения их заработной платы к среднемесячному доходу от трудовой деятельности в регионе.</w:t>
          </w:r>
        </w:p>
        <w:p w:rsidR="008E239A" w:rsidRDefault="00D61E62">
          <w:pPr>
            <w:suppressAutoHyphens/>
            <w:ind w:firstLine="720"/>
            <w:jc w:val="both"/>
          </w:pPr>
          <w:r>
            <w:t xml:space="preserve">Значение показателя выше среднеобластного за </w:t>
          </w:r>
          <w:r>
            <w:rPr>
              <w:color w:val="000000"/>
            </w:rPr>
            <w:t>2023</w:t>
          </w:r>
          <w:r>
            <w:t xml:space="preserve"> год достигнуто в </w:t>
          </w:r>
          <w:r>
            <w:t>городских округах - г. Сельцо (</w:t>
          </w:r>
          <w:r>
            <w:rPr>
              <w:color w:val="000000"/>
            </w:rPr>
            <w:t>80350,6</w:t>
          </w:r>
          <w:r>
            <w:t xml:space="preserve"> рубля), г. Брянск (</w:t>
          </w:r>
          <w:r>
            <w:rPr>
              <w:color w:val="000000"/>
            </w:rPr>
            <w:t xml:space="preserve">55590,4 </w:t>
          </w:r>
          <w:r>
            <w:t>рубля), г. Фокино (</w:t>
          </w:r>
          <w:r>
            <w:rPr>
              <w:color w:val="000000"/>
            </w:rPr>
            <w:t>54081,1</w:t>
          </w:r>
          <w:r>
            <w:t xml:space="preserve"> рубля); в муниципальных районах - в Брянском (</w:t>
          </w:r>
          <w:r>
            <w:rPr>
              <w:color w:val="000000"/>
            </w:rPr>
            <w:t>52777,7</w:t>
          </w:r>
          <w:r>
            <w:t xml:space="preserve"> рубля), Выгоничском (</w:t>
          </w:r>
          <w:r>
            <w:rPr>
              <w:color w:val="000000"/>
            </w:rPr>
            <w:t>58365,9</w:t>
          </w:r>
          <w:r>
            <w:t xml:space="preserve"> рубля), Жирятинском (</w:t>
          </w:r>
          <w:r>
            <w:rPr>
              <w:color w:val="000000"/>
            </w:rPr>
            <w:t>46958,2</w:t>
          </w:r>
          <w:r>
            <w:t xml:space="preserve"> рубля), Карачевском  (</w:t>
          </w:r>
          <w:r>
            <w:rPr>
              <w:color w:val="000000"/>
            </w:rPr>
            <w:t>56289,4</w:t>
          </w:r>
          <w:r>
            <w:t xml:space="preserve"> рубля), Севском (</w:t>
          </w:r>
          <w:r>
            <w:rPr>
              <w:color w:val="000000"/>
            </w:rPr>
            <w:t>5074</w:t>
          </w:r>
          <w:r>
            <w:rPr>
              <w:color w:val="000000"/>
            </w:rPr>
            <w:t>1</w:t>
          </w:r>
          <w:r>
            <w:t xml:space="preserve"> рубль), Суражском (</w:t>
          </w:r>
          <w:r>
            <w:rPr>
              <w:color w:val="000000"/>
            </w:rPr>
            <w:t>48746,9</w:t>
          </w:r>
          <w:r>
            <w:t xml:space="preserve"> рубля), Унечском (</w:t>
          </w:r>
          <w:r>
            <w:rPr>
              <w:color w:val="000000"/>
            </w:rPr>
            <w:t>50280,2</w:t>
          </w:r>
          <w:r>
            <w:t xml:space="preserve"> рубля). </w:t>
          </w:r>
        </w:p>
        <w:p w:rsidR="008E239A" w:rsidRDefault="00D61E62">
          <w:pPr>
            <w:suppressAutoHyphens/>
            <w:ind w:firstLine="720"/>
            <w:jc w:val="both"/>
          </w:pPr>
          <w:r>
            <w:rPr>
              <w:color w:val="000000"/>
            </w:rPr>
            <w:t>Наименьшее значение</w:t>
          </w:r>
          <w:r>
            <w:t xml:space="preserve"> среднемесячной заработной платы работников сложилось в Красногорском (</w:t>
          </w:r>
          <w:r>
            <w:rPr>
              <w:color w:val="000000"/>
            </w:rPr>
            <w:t>32640,3</w:t>
          </w:r>
          <w:r>
            <w:t xml:space="preserve"> рубля), Злынковском (</w:t>
          </w:r>
          <w:r>
            <w:rPr>
              <w:color w:val="000000"/>
            </w:rPr>
            <w:t>34049,5</w:t>
          </w:r>
          <w:r>
            <w:t xml:space="preserve"> рубля), Гордеевском (</w:t>
          </w:r>
          <w:r>
            <w:rPr>
              <w:color w:val="000000"/>
            </w:rPr>
            <w:t>34148,2</w:t>
          </w:r>
          <w:r>
            <w:t xml:space="preserve"> рубля) и </w:t>
          </w:r>
          <w:r>
            <w:rPr>
              <w:color w:val="000000"/>
            </w:rPr>
            <w:t>Дубровском</w:t>
          </w:r>
          <w:r>
            <w:t xml:space="preserve"> (</w:t>
          </w:r>
          <w:r>
            <w:rPr>
              <w:color w:val="000000"/>
            </w:rPr>
            <w:t>34777,9</w:t>
          </w:r>
          <w:r>
            <w:t xml:space="preserve"> рубля) </w:t>
          </w:r>
          <w:r>
            <w:t>муниципальных районах.</w:t>
          </w:r>
        </w:p>
        <w:p w:rsidR="008E239A" w:rsidRDefault="00D61E62">
          <w:pPr>
            <w:suppressAutoHyphens/>
            <w:ind w:firstLine="709"/>
            <w:contextualSpacing/>
            <w:jc w:val="both"/>
          </w:pPr>
          <w:r>
            <w:rPr>
              <w:rFonts w:eastAsia="Calibri"/>
              <w:color w:val="000000"/>
              <w:lang w:eastAsia="en-US"/>
            </w:rPr>
            <w:t>Положительная динамика показателя в 2023 году по сравнению с уровнем 2022 года отмечена во всех муниципальных образованиях.</w:t>
          </w:r>
        </w:p>
        <w:p w:rsidR="008E239A" w:rsidRDefault="00D61E62">
          <w:pPr>
            <w:suppressAutoHyphens/>
            <w:ind w:firstLine="709"/>
            <w:contextualSpacing/>
            <w:jc w:val="both"/>
          </w:pPr>
          <w:r>
            <w:rPr>
              <w:rFonts w:eastAsia="Calibri"/>
              <w:color w:val="000000"/>
              <w:lang w:eastAsia="en-US"/>
            </w:rPr>
            <w:t>Наибольшая динамика роста показателя к 2022 году сложилась в группе городских округов - в г. Сельцо (в 1,8 ра</w:t>
          </w:r>
          <w:r>
            <w:rPr>
              <w:rFonts w:eastAsia="Calibri"/>
              <w:color w:val="000000"/>
              <w:lang w:eastAsia="en-US"/>
            </w:rPr>
            <w:t xml:space="preserve">за), г. Новозыбкове (на 16,54%), в </w:t>
          </w:r>
          <w:r>
            <w:rPr>
              <w:rFonts w:eastAsia="Calibri"/>
              <w:color w:val="000000"/>
              <w:lang w:eastAsia="en-US"/>
            </w:rPr>
            <w:lastRenderedPageBreak/>
            <w:t>г.Брянске (на 16,02%); в группе муниципальных районов - в Карачевском (на 39,49%), Клинцовском (на 25,23%), Брасовском (на 20,91%), Севском (на 22,79%), Дятьковском (на 20,43%) районах.</w:t>
          </w:r>
        </w:p>
        <w:p w:rsidR="008E239A" w:rsidRDefault="008E239A">
          <w:pPr>
            <w:suppressAutoHyphens/>
            <w:ind w:firstLine="709"/>
            <w:contextualSpacing/>
            <w:jc w:val="both"/>
          </w:pPr>
        </w:p>
        <w:p w:rsidR="008E239A" w:rsidRDefault="00D61E62">
          <w:pPr>
            <w:suppressAutoHyphens/>
            <w:ind w:firstLine="709"/>
          </w:pPr>
          <w:r>
            <w:rPr>
              <w:b/>
            </w:rPr>
            <w:t>муниципальных дошкольных образоват</w:t>
          </w:r>
          <w:r>
            <w:rPr>
              <w:b/>
            </w:rPr>
            <w:t>ельных учреждений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В 2023 году в среднем по области показатель </w:t>
          </w:r>
          <w:r>
            <w:rPr>
              <w:color w:val="000000"/>
            </w:rPr>
            <w:t>увеличился</w:t>
          </w:r>
          <w:r>
            <w:t xml:space="preserve"> на </w:t>
          </w:r>
          <w:r>
            <w:rPr>
              <w:color w:val="000000"/>
            </w:rPr>
            <w:t xml:space="preserve">9,37% </w:t>
          </w:r>
          <w:r>
            <w:t xml:space="preserve">и составил </w:t>
          </w:r>
          <w:r>
            <w:rPr>
              <w:color w:val="000000"/>
            </w:rPr>
            <w:t>26303,69</w:t>
          </w:r>
          <w:r>
            <w:t xml:space="preserve"> рубля (в 2022 году – </w:t>
          </w:r>
          <w:r>
            <w:rPr>
              <w:color w:val="000000"/>
            </w:rPr>
            <w:t>24049,33</w:t>
          </w:r>
          <w:r>
            <w:t xml:space="preserve"> рубля).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 w:cs="Tahoma"/>
              <w:color w:val="000000"/>
              <w:lang w:eastAsia="ar-SA"/>
            </w:rPr>
            <w:t xml:space="preserve">Наиболее высокая среднемесячная начисленная заработная плата </w:t>
          </w:r>
          <w:r>
            <w:rPr>
              <w:rFonts w:eastAsia="Calibri"/>
              <w:color w:val="000000"/>
              <w:lang w:eastAsia="en-US"/>
            </w:rPr>
            <w:t xml:space="preserve"> работников </w:t>
          </w:r>
          <w:r>
            <w:rPr>
              <w:rFonts w:eastAsia="Calibri"/>
              <w:color w:val="000000"/>
              <w:lang w:eastAsia="en-US"/>
            </w:rPr>
            <w:t xml:space="preserve">муниципальных дошкольных образовательных учреждений сложилась в </w:t>
          </w:r>
          <w:r>
            <w:t>Брянском муниципальном районе (</w:t>
          </w:r>
          <w:r>
            <w:rPr>
              <w:color w:val="000000"/>
            </w:rPr>
            <w:t>36970,5</w:t>
          </w:r>
          <w:r>
            <w:t xml:space="preserve"> рублей), в Клинцовском муниципальном районе (</w:t>
          </w:r>
          <w:r>
            <w:rPr>
              <w:color w:val="000000"/>
            </w:rPr>
            <w:t xml:space="preserve">31503,4 </w:t>
          </w:r>
          <w:r>
            <w:t>рубля), в городском округе г. Брянск (</w:t>
          </w:r>
          <w:r>
            <w:rPr>
              <w:color w:val="000000"/>
            </w:rPr>
            <w:t>30331,4</w:t>
          </w:r>
          <w:r>
            <w:t xml:space="preserve"> рубля), в городском округе г. Клинцы (27423,3 рубля), </w:t>
          </w:r>
          <w:r>
            <w:t>в Дубровском муниципальном районе (</w:t>
          </w:r>
          <w:r>
            <w:rPr>
              <w:color w:val="000000"/>
            </w:rPr>
            <w:t>27255,0</w:t>
          </w:r>
          <w:r>
            <w:t xml:space="preserve"> рублей).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color w:val="000000"/>
            </w:rPr>
            <w:t xml:space="preserve">Наименьший размер среднемесячной заработной платы </w:t>
          </w:r>
          <w:r>
            <w:rPr>
              <w:rFonts w:eastAsia="Calibri"/>
              <w:color w:val="000000"/>
              <w:lang w:eastAsia="en-US"/>
            </w:rPr>
            <w:t xml:space="preserve">работников </w:t>
          </w:r>
          <w:r>
            <w:rPr>
              <w:rFonts w:eastAsia="Calibri"/>
              <w:color w:val="000000"/>
              <w:lang w:eastAsia="en-US"/>
            </w:rPr>
            <w:t xml:space="preserve">муниципальных дошкольных образовательных учреждений </w:t>
          </w:r>
          <w:r>
            <w:t xml:space="preserve">отмечен в </w:t>
          </w:r>
          <w:r>
            <w:rPr>
              <w:color w:val="000000"/>
            </w:rPr>
            <w:t>Гордеевском</w:t>
          </w:r>
          <w:r>
            <w:t xml:space="preserve"> (</w:t>
          </w:r>
          <w:r>
            <w:rPr>
              <w:color w:val="000000"/>
            </w:rPr>
            <w:t>22424,5</w:t>
          </w:r>
          <w:r>
            <w:t xml:space="preserve"> рубля), </w:t>
          </w:r>
          <w:r>
            <w:rPr>
              <w:color w:val="000000"/>
            </w:rPr>
            <w:t xml:space="preserve">Красногорском </w:t>
          </w:r>
          <w:r>
            <w:t>(</w:t>
          </w:r>
          <w:r>
            <w:rPr>
              <w:color w:val="000000"/>
            </w:rPr>
            <w:t xml:space="preserve">23220,5 </w:t>
          </w:r>
          <w:r>
            <w:t xml:space="preserve">рубля), </w:t>
          </w:r>
          <w:r>
            <w:rPr>
              <w:color w:val="000000"/>
            </w:rPr>
            <w:t>Мглинском</w:t>
          </w:r>
          <w:r>
            <w:t xml:space="preserve"> (</w:t>
          </w:r>
          <w:r>
            <w:rPr>
              <w:color w:val="000000"/>
            </w:rPr>
            <w:t>23514,6</w:t>
          </w:r>
          <w:r>
            <w:t xml:space="preserve"> р</w:t>
          </w:r>
          <w:r>
            <w:t>убля) муниципальных районах.</w:t>
          </w:r>
        </w:p>
        <w:p w:rsidR="008E239A" w:rsidRDefault="00D61E62">
          <w:pPr>
            <w:suppressAutoHyphens/>
            <w:ind w:firstLine="709"/>
            <w:contextualSpacing/>
            <w:jc w:val="both"/>
          </w:pPr>
          <w:r>
            <w:rPr>
              <w:rFonts w:eastAsia="Calibri"/>
              <w:color w:val="000000"/>
              <w:lang w:eastAsia="en-US"/>
            </w:rPr>
            <w:t>Положительная динамика показателя в 2023 году по сравнению с уровнем 2022 года отмечена во всех муниципальных образованиях.</w:t>
          </w:r>
        </w:p>
        <w:p w:rsidR="008E239A" w:rsidRDefault="00D61E62">
          <w:pPr>
            <w:suppressAutoHyphens/>
            <w:ind w:firstLine="709"/>
            <w:contextualSpacing/>
            <w:jc w:val="both"/>
          </w:pPr>
          <w:r>
            <w:rPr>
              <w:rFonts w:eastAsia="Calibri"/>
              <w:color w:val="000000"/>
              <w:lang w:eastAsia="en-US"/>
            </w:rPr>
            <w:t>Наибольшая динамика роста показателя к 2022 году сложилась в группе городских округов - в г. Клинцы (на</w:t>
          </w:r>
          <w:r>
            <w:rPr>
              <w:rFonts w:eastAsia="Calibri"/>
              <w:color w:val="000000"/>
              <w:lang w:eastAsia="en-US"/>
            </w:rPr>
            <w:t xml:space="preserve"> 14,67%), г. Фокино (на 10,05%), г. Брянске (на 8,85%); в группе муниципальных районов - в Комаричском (на 13,71%), Погарском (на 12,22%), Суземском (на 12,06%), Клинцовском (на 11,68%), Суражском (на 11,59%), Навлинском (на 11,48%).</w:t>
          </w:r>
        </w:p>
        <w:p w:rsidR="008E239A" w:rsidRDefault="008E239A">
          <w:pPr>
            <w:suppressAutoHyphens/>
            <w:ind w:firstLine="709"/>
            <w:contextualSpacing/>
            <w:jc w:val="both"/>
          </w:pPr>
        </w:p>
        <w:p w:rsidR="008E239A" w:rsidRDefault="00D61E62">
          <w:pPr>
            <w:suppressAutoHyphens/>
            <w:ind w:firstLine="709"/>
          </w:pPr>
          <w:r>
            <w:rPr>
              <w:b/>
            </w:rPr>
            <w:t xml:space="preserve">муниципальных </w:t>
          </w:r>
          <w:r>
            <w:rPr>
              <w:b/>
            </w:rPr>
            <w:t>общеобразовательных учреждений</w:t>
          </w:r>
        </w:p>
        <w:p w:rsidR="008E239A" w:rsidRDefault="00D61E62">
          <w:pPr>
            <w:suppressAutoHyphens/>
            <w:ind w:firstLine="709"/>
            <w:contextualSpacing/>
            <w:jc w:val="both"/>
          </w:pPr>
          <w:r>
            <w:rPr>
              <w:rFonts w:eastAsia="Calibri"/>
              <w:lang w:eastAsia="en-US"/>
            </w:rPr>
            <w:t xml:space="preserve">Среднемесячная номинальная начисленная заработная плата работников муниципальных общеобразовательных учреждений в среднем по </w:t>
          </w:r>
          <w:r>
            <w:rPr>
              <w:rFonts w:eastAsia="Calibri"/>
              <w:color w:val="000000"/>
              <w:lang w:eastAsia="en-US"/>
            </w:rPr>
            <w:t>области</w:t>
          </w:r>
          <w:r>
            <w:rPr>
              <w:rFonts w:eastAsia="Calibri"/>
              <w:lang w:eastAsia="en-US"/>
            </w:rPr>
            <w:t xml:space="preserve"> в 2023 году составила </w:t>
          </w:r>
          <w:r>
            <w:rPr>
              <w:rFonts w:eastAsia="Calibri"/>
              <w:color w:val="000000"/>
              <w:lang w:eastAsia="en-US"/>
            </w:rPr>
            <w:t xml:space="preserve">36320,0 </w:t>
          </w:r>
          <w:r>
            <w:rPr>
              <w:rFonts w:eastAsia="Calibri"/>
              <w:lang w:eastAsia="en-US"/>
            </w:rPr>
            <w:t xml:space="preserve">рублей, </w:t>
          </w:r>
          <w:r>
            <w:rPr>
              <w:rFonts w:eastAsia="Calibri"/>
              <w:color w:val="000000"/>
              <w:lang w:eastAsia="en-US"/>
            </w:rPr>
            <w:t>увеличившись к</w:t>
          </w:r>
          <w:r>
            <w:rPr>
              <w:rFonts w:eastAsia="Calibri"/>
              <w:lang w:eastAsia="en-US"/>
            </w:rPr>
            <w:t xml:space="preserve"> уровню 2022 года на 8,25%.</w:t>
          </w:r>
        </w:p>
        <w:p w:rsidR="008E239A" w:rsidRDefault="00D61E62">
          <w:pPr>
            <w:suppressAutoHyphens/>
            <w:ind w:firstLine="709"/>
            <w:contextualSpacing/>
            <w:jc w:val="both"/>
          </w:pPr>
          <w:r>
            <w:rPr>
              <w:rFonts w:eastAsia="Calibri" w:cs="Tahoma"/>
              <w:color w:val="000000"/>
              <w:lang w:eastAsia="ar-SA"/>
            </w:rPr>
            <w:t xml:space="preserve">Наиболее высокая среднемесячная начисленная заработная плата </w:t>
          </w:r>
          <w:r>
            <w:rPr>
              <w:rFonts w:eastAsia="Calibri"/>
              <w:color w:val="000000"/>
              <w:lang w:eastAsia="en-US"/>
            </w:rPr>
            <w:t>работников муниципальных общеобразовательных учреждений сложилась в группе городских округов — в г. Брянске (41183,3 рубля), г. Клинцы (40800,9 рубля) г. Сельцо (39303,0 рубля); в группе муниципа</w:t>
          </w:r>
          <w:r>
            <w:rPr>
              <w:rFonts w:eastAsia="Calibri"/>
              <w:color w:val="000000"/>
              <w:lang w:eastAsia="en-US"/>
            </w:rPr>
            <w:t xml:space="preserve">льных районов — в Жирятинском (40486,0 рублей), Брянском (40228,8 рублей), Дятьковском (39937,3). </w:t>
          </w:r>
        </w:p>
        <w:p w:rsidR="008E239A" w:rsidRDefault="00D61E62">
          <w:pPr>
            <w:suppressAutoHyphens/>
            <w:ind w:firstLine="709"/>
            <w:contextualSpacing/>
            <w:jc w:val="both"/>
          </w:pPr>
          <w:r>
            <w:rPr>
              <w:rFonts w:eastAsia="Calibri"/>
              <w:color w:val="000000"/>
              <w:lang w:eastAsia="en-US"/>
            </w:rPr>
            <w:t>Наиболее низкий уровень показателя наблюдался в Злынковском (29772,2 рубля), Клинцовском (30216,4 рубля), Суражском (31498,9 рубля) муниципальных районах.</w:t>
          </w:r>
        </w:p>
        <w:p w:rsidR="008E239A" w:rsidRDefault="00D61E62">
          <w:pPr>
            <w:suppressAutoHyphens/>
            <w:ind w:firstLine="709"/>
            <w:contextualSpacing/>
            <w:jc w:val="both"/>
          </w:pPr>
          <w:r>
            <w:rPr>
              <w:rFonts w:eastAsia="Calibri"/>
              <w:color w:val="000000"/>
              <w:lang w:eastAsia="en-US"/>
            </w:rPr>
            <w:t>По</w:t>
          </w:r>
          <w:r>
            <w:rPr>
              <w:rFonts w:eastAsia="Calibri"/>
              <w:color w:val="000000"/>
              <w:lang w:eastAsia="en-US"/>
            </w:rPr>
            <w:t>ложительная динамика показателя в 2023 году к уровню 2022 года отмечена во всех муниципальных образованиях.</w:t>
          </w:r>
        </w:p>
        <w:p w:rsidR="008E239A" w:rsidRDefault="00D61E62">
          <w:pPr>
            <w:suppressAutoHyphens/>
            <w:ind w:firstLine="709"/>
            <w:contextualSpacing/>
            <w:jc w:val="both"/>
          </w:pPr>
          <w:r>
            <w:rPr>
              <w:rFonts w:eastAsia="Calibri"/>
              <w:color w:val="000000"/>
              <w:lang w:eastAsia="en-US"/>
            </w:rPr>
            <w:t>Наибольшая динамика роста показателя к 2022 году сложилась в группе городских округов - в г. Новозыбкове (на 11,05%), г. Сельцо (на 10,21%), г.Фокин</w:t>
          </w:r>
          <w:r>
            <w:rPr>
              <w:rFonts w:eastAsia="Calibri"/>
              <w:color w:val="000000"/>
              <w:lang w:eastAsia="en-US"/>
            </w:rPr>
            <w:t>о (на 8,04%); в группе муниципальных районов — в Дятьковском (на 12,02%), Брасовском (на 11,85%), Брянском (на 11,42%), Унечском (на 10,27%),  Стародубском муниципальном округе (на 10,77%).</w:t>
          </w:r>
        </w:p>
        <w:p w:rsidR="008E239A" w:rsidRDefault="008E239A">
          <w:pPr>
            <w:suppressAutoHyphens/>
            <w:ind w:firstLine="709"/>
            <w:contextualSpacing/>
            <w:jc w:val="both"/>
            <w:rPr>
              <w:rFonts w:eastAsia="Calibri"/>
              <w:lang w:eastAsia="en-US"/>
            </w:rPr>
          </w:pPr>
        </w:p>
        <w:p w:rsidR="008E239A" w:rsidRDefault="00D61E62">
          <w:pPr>
            <w:suppressAutoHyphens/>
            <w:ind w:firstLine="709"/>
          </w:pPr>
          <w:r>
            <w:rPr>
              <w:b/>
            </w:rPr>
            <w:lastRenderedPageBreak/>
            <w:t>учителей муниципальных общеобразовательных учреждений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>Среднемесяч</w:t>
          </w:r>
          <w:r>
            <w:rPr>
              <w:rFonts w:eastAsia="Calibri"/>
              <w:lang w:eastAsia="en-US"/>
            </w:rPr>
            <w:t xml:space="preserve">ная номинальная начисленная заработная плата </w:t>
          </w:r>
          <w:r>
            <w:rPr>
              <w:rFonts w:eastAsia="Calibri"/>
              <w:lang w:eastAsia="en-US"/>
            </w:rPr>
            <w:t xml:space="preserve">учителей муниципальных общеобразовательных учреждений в 2023 году </w:t>
          </w:r>
          <w:r>
            <w:t xml:space="preserve">в среднем по области составила </w:t>
          </w:r>
          <w:r>
            <w:rPr>
              <w:color w:val="000000"/>
            </w:rPr>
            <w:t xml:space="preserve">37211,54 </w:t>
          </w:r>
          <w:r>
            <w:t xml:space="preserve">рубля, рост — на </w:t>
          </w:r>
          <w:r>
            <w:rPr>
              <w:color w:val="000000"/>
            </w:rPr>
            <w:t>6,62%</w:t>
          </w:r>
          <w:r>
            <w:t xml:space="preserve"> к уровню 2022 года</w:t>
          </w:r>
          <w:bookmarkStart w:id="5" w:name="page129R_mcid98"/>
          <w:bookmarkEnd w:id="5"/>
          <w:r>
            <w:t xml:space="preserve">. </w:t>
          </w:r>
          <w:r>
            <w:tab/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color w:val="000000"/>
            </w:rPr>
            <w:t>В группе</w:t>
          </w:r>
          <w:r>
            <w:t xml:space="preserve"> городских округов в</w:t>
          </w:r>
          <w:r>
            <w:rPr>
              <w:rFonts w:eastAsia="Calibri"/>
              <w:color w:val="000000"/>
              <w:lang w:eastAsia="en-US"/>
            </w:rPr>
            <w:t xml:space="preserve">ысокий уровень заработной платы </w:t>
          </w:r>
          <w:r>
            <w:rPr>
              <w:rFonts w:eastAsia="Calibri"/>
              <w:color w:val="000000"/>
              <w:lang w:eastAsia="en-US"/>
            </w:rPr>
            <w:t>учителей</w:t>
          </w:r>
          <w:r>
            <w:t xml:space="preserve"> отмечен в г. Брянске (</w:t>
          </w:r>
          <w:r>
            <w:rPr>
              <w:color w:val="000000"/>
            </w:rPr>
            <w:t>45679,5</w:t>
          </w:r>
          <w:r>
            <w:t xml:space="preserve"> рубля), г. Клинцы (42224,6 рубля), г. Сельцо (41040,81 рубля);  наиболее низкий – в г. Фокино (</w:t>
          </w:r>
          <w:r>
            <w:rPr>
              <w:color w:val="000000"/>
            </w:rPr>
            <w:t>36000,0</w:t>
          </w:r>
          <w:r>
            <w:t xml:space="preserve"> рублей).</w:t>
          </w:r>
        </w:p>
        <w:p w:rsidR="008E239A" w:rsidRDefault="00D61E62">
          <w:pPr>
            <w:suppressAutoHyphens/>
            <w:ind w:firstLine="709"/>
            <w:jc w:val="both"/>
          </w:pPr>
          <w:r>
            <w:t>В группе муниципальных районов в</w:t>
          </w:r>
          <w:r>
            <w:rPr>
              <w:rFonts w:eastAsia="Calibri"/>
              <w:color w:val="000000"/>
              <w:lang w:eastAsia="en-US"/>
            </w:rPr>
            <w:t>ысокий уровень заработной платы учителей</w:t>
          </w:r>
          <w:r>
            <w:t xml:space="preserve"> сохранился в </w:t>
          </w:r>
          <w:r>
            <w:rPr>
              <w:color w:val="000000"/>
            </w:rPr>
            <w:t>Брянском</w:t>
          </w:r>
          <w:r>
            <w:t xml:space="preserve"> (</w:t>
          </w:r>
          <w:r>
            <w:rPr>
              <w:color w:val="000000"/>
            </w:rPr>
            <w:t xml:space="preserve">49398 </w:t>
          </w:r>
          <w:r>
            <w:t>руб</w:t>
          </w:r>
          <w:r>
            <w:t xml:space="preserve">ля), Выгоничском (42944,8 рубля), Жирятинском (40986,0 рублей) муниципальных районах. Одни из самых низких </w:t>
          </w:r>
          <w:r>
            <w:rPr>
              <w:rFonts w:eastAsia="Calibri"/>
              <w:color w:val="000000"/>
              <w:lang w:eastAsia="en-US"/>
            </w:rPr>
            <w:t>уровней заработной платы учителей</w:t>
          </w:r>
          <w:r>
            <w:t xml:space="preserve"> отмечены в </w:t>
          </w:r>
          <w:r>
            <w:rPr>
              <w:color w:val="000000"/>
            </w:rPr>
            <w:t>Красногорском</w:t>
          </w:r>
          <w:r>
            <w:t xml:space="preserve"> (</w:t>
          </w:r>
          <w:r>
            <w:rPr>
              <w:color w:val="000000"/>
            </w:rPr>
            <w:t>22900</w:t>
          </w:r>
          <w:r>
            <w:t xml:space="preserve"> рублей) и </w:t>
          </w:r>
          <w:r>
            <w:rPr>
              <w:color w:val="000000"/>
            </w:rPr>
            <w:t>Клинцовском</w:t>
          </w:r>
          <w:r>
            <w:t xml:space="preserve"> (</w:t>
          </w:r>
          <w:r>
            <w:rPr>
              <w:color w:val="000000"/>
            </w:rPr>
            <w:t>31923</w:t>
          </w:r>
          <w:r>
            <w:t xml:space="preserve"> рубля) муниципальных районах. </w:t>
          </w:r>
        </w:p>
        <w:p w:rsidR="008E239A" w:rsidRDefault="00D61E62">
          <w:pPr>
            <w:suppressAutoHyphens/>
            <w:ind w:firstLine="709"/>
            <w:contextualSpacing/>
            <w:jc w:val="both"/>
          </w:pPr>
          <w:r>
            <w:rPr>
              <w:rFonts w:eastAsia="Calibri"/>
              <w:lang w:eastAsia="en-US"/>
            </w:rPr>
            <w:t xml:space="preserve">Положительная динамика показателя  </w:t>
          </w:r>
          <w:r>
            <w:rPr>
              <w:rFonts w:eastAsia="Calibri"/>
              <w:color w:val="000000"/>
              <w:lang w:eastAsia="en-US"/>
            </w:rPr>
            <w:t>к</w:t>
          </w:r>
          <w:r>
            <w:rPr>
              <w:rFonts w:eastAsia="Calibri"/>
              <w:lang w:eastAsia="en-US"/>
            </w:rPr>
            <w:t xml:space="preserve"> уровню 2022 года </w:t>
          </w:r>
          <w:r>
            <w:rPr>
              <w:rFonts w:eastAsia="Calibri"/>
              <w:color w:val="000000"/>
              <w:lang w:eastAsia="en-US"/>
            </w:rPr>
            <w:t>сложилась</w:t>
          </w:r>
          <w:r>
            <w:rPr>
              <w:rFonts w:eastAsia="Calibri"/>
              <w:lang w:eastAsia="en-US"/>
            </w:rPr>
            <w:t xml:space="preserve"> во всех муниципальных образованиях.</w:t>
          </w:r>
        </w:p>
        <w:p w:rsidR="008E239A" w:rsidRDefault="00D61E62">
          <w:pPr>
            <w:suppressAutoHyphens/>
            <w:ind w:firstLine="709"/>
            <w:contextualSpacing/>
            <w:jc w:val="both"/>
          </w:pPr>
          <w:r>
            <w:rPr>
              <w:rFonts w:eastAsia="Calibri"/>
              <w:color w:val="000000"/>
              <w:lang w:eastAsia="en-US"/>
            </w:rPr>
            <w:t>Наибольшая динамика роста показателя к 2022 году сложилась в группе городских округов — в г. Клинцы (на 9,42%), г. Фокино (на 5,88%), г. Новозыбкове (на 5,6</w:t>
          </w:r>
          <w:r>
            <w:rPr>
              <w:rFonts w:eastAsia="Calibri"/>
              <w:color w:val="000000"/>
              <w:lang w:eastAsia="en-US"/>
            </w:rPr>
            <w:t>4%); в группе муниципальных районов — в Жуковском муниципальном округе (на 19,78%), в Суражском (на 14,39%), Дятьковском (на 11,11%), Трубчевском (на 10,72%), Мглинском (на 10,34%) муниципальных районах.</w:t>
          </w:r>
        </w:p>
        <w:p w:rsidR="008E239A" w:rsidRDefault="008E239A">
          <w:pPr>
            <w:suppressAutoHyphens/>
            <w:ind w:firstLine="709"/>
            <w:contextualSpacing/>
            <w:jc w:val="both"/>
            <w:rPr>
              <w:rFonts w:eastAsia="Calibri"/>
              <w:color w:val="000000"/>
              <w:lang w:eastAsia="en-US"/>
            </w:rPr>
          </w:pPr>
        </w:p>
        <w:p w:rsidR="008E239A" w:rsidRDefault="00D61E62">
          <w:pPr>
            <w:suppressAutoHyphens/>
            <w:ind w:firstLine="709"/>
          </w:pPr>
          <w:r>
            <w:rPr>
              <w:b/>
            </w:rPr>
            <w:t>муниципальных учреждений культуры и искусства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lang w:eastAsia="ar-SA"/>
            </w:rPr>
            <w:t>По ит</w:t>
          </w:r>
          <w:r>
            <w:rPr>
              <w:rFonts w:eastAsia="Calibri"/>
              <w:lang w:eastAsia="ar-SA"/>
            </w:rPr>
            <w:t xml:space="preserve">огам 2023 года среднемесячная заработная плата работников государственных и муниципальных учреждений культуры составила </w:t>
          </w:r>
          <w:r>
            <w:rPr>
              <w:rFonts w:eastAsia="Calibri"/>
              <w:color w:val="000000"/>
              <w:lang w:eastAsia="ar-SA"/>
            </w:rPr>
            <w:t>33695,08</w:t>
          </w:r>
          <w:r>
            <w:rPr>
              <w:rFonts w:eastAsia="Calibri"/>
              <w:lang w:eastAsia="ar-SA"/>
            </w:rPr>
            <w:t xml:space="preserve"> рубля и увеличилась на </w:t>
          </w:r>
          <w:r>
            <w:rPr>
              <w:rFonts w:eastAsia="Calibri"/>
              <w:color w:val="000000"/>
              <w:lang w:eastAsia="ar-SA"/>
            </w:rPr>
            <w:t>13,68% к уровню</w:t>
          </w:r>
          <w:r>
            <w:rPr>
              <w:rFonts w:eastAsia="Calibri"/>
              <w:lang w:eastAsia="ar-SA"/>
            </w:rPr>
            <w:t xml:space="preserve"> 2022 года.</w:t>
          </w:r>
          <w:bookmarkStart w:id="6" w:name="page131R_mcid5"/>
          <w:bookmarkEnd w:id="6"/>
          <w:r>
            <w:rPr>
              <w:rFonts w:eastAsia="Calibri"/>
              <w:lang w:eastAsia="ar-SA"/>
            </w:rPr>
            <w:t xml:space="preserve">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 w:cs="Tahoma"/>
              <w:color w:val="000000"/>
              <w:lang w:eastAsia="ar-SA"/>
            </w:rPr>
            <w:t>В группе городских округов наиболее высокая среднемесячная начисленная зараб</w:t>
          </w:r>
          <w:r>
            <w:rPr>
              <w:rFonts w:eastAsia="Calibri" w:cs="Tahoma"/>
              <w:color w:val="000000"/>
              <w:lang w:eastAsia="ar-SA"/>
            </w:rPr>
            <w:t>отная плата работников муниципальных учреждений культуры и искусства в 2023 году сложилась в г. Фокино (</w:t>
          </w:r>
          <w:r>
            <w:rPr>
              <w:rFonts w:eastAsia="Calibri" w:cs="Tahoma"/>
              <w:color w:val="000000"/>
              <w:lang w:eastAsia="ar-SA"/>
            </w:rPr>
            <w:t>44514,1</w:t>
          </w:r>
          <w:r>
            <w:rPr>
              <w:rFonts w:eastAsia="Calibri" w:cs="Tahoma"/>
              <w:color w:val="000000"/>
              <w:lang w:eastAsia="ar-SA"/>
            </w:rPr>
            <w:t xml:space="preserve"> рубля), г. Брянске (</w:t>
          </w:r>
          <w:r>
            <w:rPr>
              <w:rFonts w:eastAsia="Calibri" w:cs="Tahoma"/>
              <w:color w:val="000000"/>
              <w:lang w:eastAsia="ar-SA"/>
            </w:rPr>
            <w:t>40178,8</w:t>
          </w:r>
          <w:r>
            <w:rPr>
              <w:rFonts w:eastAsia="Calibri" w:cs="Tahoma"/>
              <w:color w:val="000000"/>
              <w:lang w:eastAsia="ar-SA"/>
            </w:rPr>
            <w:t xml:space="preserve"> рубля),  г.Сельцо (37240,1 рубля); наиболее низкая – в г.Клинцы (33087,8 рубля).</w:t>
          </w:r>
        </w:p>
        <w:p w:rsidR="008E239A" w:rsidRDefault="00D61E62">
          <w:pPr>
            <w:suppressAutoHyphens/>
            <w:jc w:val="both"/>
          </w:pPr>
          <w:r>
            <w:rPr>
              <w:rFonts w:eastAsia="Calibri" w:cs="Tahoma"/>
              <w:color w:val="000000"/>
              <w:lang w:eastAsia="ar-SA"/>
            </w:rPr>
            <w:tab/>
            <w:t xml:space="preserve">В группе </w:t>
          </w:r>
          <w:r>
            <w:rPr>
              <w:rFonts w:eastAsia="Calibri" w:cs="Calibri"/>
              <w:color w:val="000000"/>
              <w:lang w:eastAsia="ar-SA"/>
            </w:rPr>
            <w:t xml:space="preserve">муниципальных районов </w:t>
          </w:r>
          <w:r>
            <w:rPr>
              <w:rFonts w:eastAsia="Calibri" w:cs="Tahoma"/>
              <w:color w:val="000000"/>
              <w:lang w:eastAsia="ar-SA"/>
            </w:rPr>
            <w:t>наиболее высокая среднемесячная начисленная заработная плата работников муниципальных учреждений культуры и искусства в  2023 году отмечена в Выгоничском (</w:t>
          </w:r>
          <w:r>
            <w:rPr>
              <w:rFonts w:eastAsia="Calibri" w:cs="Tahoma"/>
              <w:color w:val="000000"/>
              <w:lang w:eastAsia="ar-SA"/>
            </w:rPr>
            <w:t>38701,5</w:t>
          </w:r>
          <w:r>
            <w:rPr>
              <w:rFonts w:eastAsia="Calibri" w:cs="Tahoma"/>
              <w:color w:val="000000"/>
              <w:lang w:eastAsia="ar-SA"/>
            </w:rPr>
            <w:t xml:space="preserve"> рубля), Брянском (</w:t>
          </w:r>
          <w:r>
            <w:rPr>
              <w:rFonts w:eastAsia="Calibri" w:cs="Tahoma"/>
              <w:color w:val="000000"/>
              <w:lang w:eastAsia="ar-SA"/>
            </w:rPr>
            <w:t>37698,0</w:t>
          </w:r>
          <w:r>
            <w:rPr>
              <w:rFonts w:eastAsia="Calibri" w:cs="Tahoma"/>
              <w:color w:val="000000"/>
              <w:lang w:eastAsia="ar-SA"/>
            </w:rPr>
            <w:t xml:space="preserve"> рублей), </w:t>
          </w:r>
          <w:r>
            <w:rPr>
              <w:rFonts w:eastAsia="Calibri" w:cs="Tahoma"/>
              <w:color w:val="000000"/>
              <w:lang w:eastAsia="ar-SA"/>
            </w:rPr>
            <w:t>Карачевском</w:t>
          </w:r>
          <w:r>
            <w:rPr>
              <w:rFonts w:eastAsia="Calibri" w:cs="Tahoma"/>
              <w:color w:val="000000"/>
              <w:lang w:eastAsia="ar-SA"/>
            </w:rPr>
            <w:t xml:space="preserve"> (36372,4 рубля) муниципальных районах; </w:t>
          </w:r>
          <w:r>
            <w:rPr>
              <w:rFonts w:eastAsia="Calibri" w:cs="Tahoma"/>
              <w:color w:val="000000"/>
              <w:lang w:eastAsia="ar-SA"/>
            </w:rPr>
            <w:t>наиболе</w:t>
          </w:r>
          <w:r>
            <w:rPr>
              <w:rFonts w:eastAsia="Calibri" w:cs="Tahoma"/>
              <w:color w:val="000000"/>
              <w:lang w:eastAsia="ar-SA"/>
            </w:rPr>
            <w:t>е</w:t>
          </w:r>
          <w:r>
            <w:rPr>
              <w:rFonts w:eastAsia="Calibri" w:cs="Tahoma"/>
              <w:color w:val="000000"/>
              <w:lang w:eastAsia="ar-SA"/>
            </w:rPr>
            <w:t xml:space="preserve"> низкая начисленная среднемесячная заработная плата работников муниципальных учреждений культуры и искусства - в Рогнединском районе (</w:t>
          </w:r>
          <w:r>
            <w:rPr>
              <w:rFonts w:eastAsia="Calibri" w:cs="Tahoma"/>
              <w:color w:val="000000"/>
              <w:lang w:eastAsia="ar-SA"/>
            </w:rPr>
            <w:t xml:space="preserve">28393,4 </w:t>
          </w:r>
          <w:r>
            <w:rPr>
              <w:rFonts w:eastAsia="Calibri" w:cs="Tahoma"/>
              <w:color w:val="000000"/>
              <w:lang w:eastAsia="ar-SA"/>
            </w:rPr>
            <w:t>рубля).</w:t>
          </w:r>
        </w:p>
        <w:p w:rsidR="008E239A" w:rsidRDefault="00D61E62">
          <w:pPr>
            <w:suppressAutoHyphens/>
            <w:ind w:firstLine="709"/>
            <w:contextualSpacing/>
            <w:jc w:val="both"/>
          </w:pPr>
          <w:r>
            <w:rPr>
              <w:rFonts w:eastAsia="Calibri"/>
              <w:lang w:eastAsia="en-US"/>
            </w:rPr>
            <w:t xml:space="preserve">Положительная динамика показателя в 2023 году </w:t>
          </w:r>
          <w:r>
            <w:rPr>
              <w:rFonts w:eastAsia="Calibri"/>
              <w:color w:val="000000"/>
              <w:lang w:eastAsia="en-US"/>
            </w:rPr>
            <w:t xml:space="preserve">к </w:t>
          </w:r>
          <w:r>
            <w:rPr>
              <w:rFonts w:eastAsia="Calibri"/>
              <w:lang w:eastAsia="en-US"/>
            </w:rPr>
            <w:t>уровню 2022 года отмечена во всех муниципальных образован</w:t>
          </w:r>
          <w:r>
            <w:rPr>
              <w:rFonts w:eastAsia="Calibri"/>
              <w:lang w:eastAsia="en-US"/>
            </w:rPr>
            <w:t>иях.</w:t>
          </w:r>
        </w:p>
        <w:p w:rsidR="008E239A" w:rsidRDefault="00D61E62">
          <w:pPr>
            <w:suppressAutoHyphens/>
            <w:ind w:firstLine="709"/>
            <w:contextualSpacing/>
            <w:jc w:val="both"/>
          </w:pPr>
          <w:r>
            <w:rPr>
              <w:rFonts w:eastAsia="Calibri"/>
              <w:color w:val="000000"/>
              <w:lang w:eastAsia="en-US"/>
            </w:rPr>
            <w:t>Наибольшая динамика роста показателя к 2022 году сложилась в группе городских округов - в г. Клинцы (на 15,61%), г. Сельцо (на 14,94%), г. Новозыбкове (на 14,71%); в группе муниципальных районов - в Карачевском (на 17,55%), Злынковском (на 17,45%), Су</w:t>
          </w:r>
          <w:r>
            <w:rPr>
              <w:rFonts w:eastAsia="Calibri"/>
              <w:color w:val="000000"/>
              <w:lang w:eastAsia="en-US"/>
            </w:rPr>
            <w:t>земском (на 16,86%), Выгоничском (на 15,47%), Клинцовском (на 14,76%) районах.</w:t>
          </w:r>
        </w:p>
        <w:p w:rsidR="008E239A" w:rsidRDefault="008E239A">
          <w:pPr>
            <w:suppressAutoHyphens/>
            <w:ind w:firstLine="709"/>
            <w:contextualSpacing/>
            <w:jc w:val="both"/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b/>
            </w:rPr>
            <w:t>муниципальных учреждений физической культуры и спорта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lang w:eastAsia="ar-SA"/>
            </w:rPr>
            <w:lastRenderedPageBreak/>
            <w:t>По итогам 2023 года среднемесячная заработная плата работников муниципальных учреждений физической культуры и спорта соста</w:t>
          </w:r>
          <w:r>
            <w:rPr>
              <w:rFonts w:eastAsia="Calibri"/>
              <w:lang w:eastAsia="ar-SA"/>
            </w:rPr>
            <w:t xml:space="preserve">вила  </w:t>
          </w:r>
          <w:r>
            <w:rPr>
              <w:rFonts w:eastAsia="Calibri"/>
              <w:color w:val="000000"/>
              <w:lang w:eastAsia="ar-SA"/>
            </w:rPr>
            <w:t>24887,71</w:t>
          </w:r>
          <w:r>
            <w:rPr>
              <w:rFonts w:eastAsia="Calibri"/>
              <w:lang w:eastAsia="ar-SA"/>
            </w:rPr>
            <w:t xml:space="preserve"> рубля и увеличилась на </w:t>
          </w:r>
          <w:r>
            <w:rPr>
              <w:rFonts w:eastAsia="Calibri"/>
              <w:color w:val="000000"/>
              <w:lang w:eastAsia="ar-SA"/>
            </w:rPr>
            <w:t>15,84% к уровню 2022 года</w:t>
          </w:r>
          <w:r>
            <w:rPr>
              <w:rFonts w:eastAsia="Calibri"/>
              <w:lang w:eastAsia="ar-SA"/>
            </w:rPr>
            <w:t>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 w:cs="Tahoma"/>
              <w:color w:val="000000"/>
              <w:lang w:eastAsia="ar-SA"/>
            </w:rPr>
            <w:t xml:space="preserve">В группе городских округов наиболее высокая среднемесячная начисленная заработная плата работников муниципальных учреждений физической культуры и спорта в 2023 году </w:t>
          </w:r>
          <w:r>
            <w:rPr>
              <w:rFonts w:eastAsia="Calibri" w:cs="Tahoma"/>
              <w:color w:val="000000"/>
              <w:lang w:eastAsia="ar-SA"/>
            </w:rPr>
            <w:t>сложилась</w:t>
          </w:r>
          <w:r>
            <w:rPr>
              <w:rFonts w:eastAsia="Calibri" w:cs="Tahoma"/>
              <w:color w:val="000000"/>
              <w:lang w:eastAsia="ar-SA"/>
            </w:rPr>
            <w:t xml:space="preserve"> в г. Клинцы (446</w:t>
          </w:r>
          <w:r>
            <w:rPr>
              <w:rFonts w:eastAsia="Calibri" w:cs="Tahoma"/>
              <w:color w:val="000000"/>
              <w:lang w:eastAsia="ar-SA"/>
            </w:rPr>
            <w:t>28,0 рублей), г.Брянске (</w:t>
          </w:r>
          <w:r>
            <w:rPr>
              <w:rFonts w:eastAsia="Calibri" w:cs="Tahoma"/>
              <w:color w:val="000000"/>
              <w:lang w:eastAsia="ar-SA"/>
            </w:rPr>
            <w:t>35658,4</w:t>
          </w:r>
          <w:r>
            <w:rPr>
              <w:rFonts w:eastAsia="Calibri" w:cs="Tahoma"/>
              <w:color w:val="000000"/>
              <w:lang w:eastAsia="ar-SA"/>
            </w:rPr>
            <w:t xml:space="preserve"> рубля), г. </w:t>
          </w:r>
          <w:r>
            <w:rPr>
              <w:rFonts w:eastAsia="Calibri" w:cs="Tahoma"/>
              <w:color w:val="000000"/>
              <w:lang w:eastAsia="ar-SA"/>
            </w:rPr>
            <w:t>Сельцо</w:t>
          </w:r>
          <w:r>
            <w:rPr>
              <w:rFonts w:eastAsia="Calibri" w:cs="Tahoma"/>
              <w:color w:val="000000"/>
              <w:lang w:eastAsia="ar-SA"/>
            </w:rPr>
            <w:t xml:space="preserve"> (</w:t>
          </w:r>
          <w:r>
            <w:rPr>
              <w:rFonts w:eastAsia="Calibri" w:cs="Tahoma"/>
              <w:color w:val="000000"/>
              <w:lang w:eastAsia="ar-SA"/>
            </w:rPr>
            <w:t xml:space="preserve">30543,7 </w:t>
          </w:r>
          <w:r>
            <w:rPr>
              <w:rFonts w:eastAsia="Calibri" w:cs="Tahoma"/>
              <w:color w:val="000000"/>
              <w:lang w:eastAsia="ar-SA"/>
            </w:rPr>
            <w:t>рубля); наиболее низкая — в г.Новозыбкове (24993,4 рубля).</w:t>
          </w:r>
        </w:p>
        <w:p w:rsidR="008E239A" w:rsidRDefault="00D61E62">
          <w:pPr>
            <w:suppressAutoHyphens/>
            <w:jc w:val="both"/>
          </w:pPr>
          <w:r>
            <w:rPr>
              <w:rFonts w:eastAsia="Calibri" w:cs="Tahoma"/>
              <w:color w:val="000000"/>
              <w:lang w:eastAsia="ar-SA"/>
            </w:rPr>
            <w:tab/>
            <w:t xml:space="preserve">В группе </w:t>
          </w:r>
          <w:r>
            <w:rPr>
              <w:rFonts w:eastAsia="Calibri" w:cs="Calibri"/>
              <w:color w:val="000000"/>
              <w:lang w:eastAsia="ar-SA"/>
            </w:rPr>
            <w:t xml:space="preserve">муниципальных районов </w:t>
          </w:r>
          <w:r>
            <w:rPr>
              <w:rFonts w:eastAsia="Calibri" w:cs="Tahoma"/>
              <w:color w:val="000000"/>
              <w:lang w:eastAsia="ar-SA"/>
            </w:rPr>
            <w:t xml:space="preserve">наиболее высокая среднемесячная начисленная заработная плата работников муниципальных учреждений физической культуры и спорта в 2023 году </w:t>
          </w:r>
          <w:r>
            <w:rPr>
              <w:rFonts w:eastAsia="Calibri" w:cs="Tahoma"/>
              <w:color w:val="000000"/>
              <w:lang w:eastAsia="ar-SA"/>
            </w:rPr>
            <w:t>сложилась</w:t>
          </w:r>
          <w:r>
            <w:rPr>
              <w:rFonts w:eastAsia="Calibri" w:cs="Tahoma"/>
              <w:color w:val="000000"/>
              <w:lang w:eastAsia="ar-SA"/>
            </w:rPr>
            <w:t xml:space="preserve"> в Дубровском (</w:t>
          </w:r>
          <w:r>
            <w:rPr>
              <w:rFonts w:eastAsia="Calibri" w:cs="Tahoma"/>
              <w:color w:val="000000"/>
              <w:lang w:eastAsia="ar-SA"/>
            </w:rPr>
            <w:t>37649,2</w:t>
          </w:r>
          <w:r>
            <w:rPr>
              <w:rFonts w:eastAsia="Calibri" w:cs="Tahoma"/>
              <w:color w:val="000000"/>
              <w:lang w:eastAsia="ar-SA"/>
            </w:rPr>
            <w:t xml:space="preserve"> рубля), Брянском (</w:t>
          </w:r>
          <w:r>
            <w:rPr>
              <w:rFonts w:eastAsia="Calibri" w:cs="Tahoma"/>
              <w:color w:val="000000"/>
              <w:lang w:eastAsia="ar-SA"/>
            </w:rPr>
            <w:t xml:space="preserve">36076,6 </w:t>
          </w:r>
          <w:r>
            <w:rPr>
              <w:rFonts w:eastAsia="Calibri" w:cs="Tahoma"/>
              <w:color w:val="000000"/>
              <w:lang w:eastAsia="ar-SA"/>
            </w:rPr>
            <w:t xml:space="preserve">рубля), Севском (32551,2 рубля) районах; </w:t>
          </w:r>
          <w:r>
            <w:rPr>
              <w:rFonts w:eastAsia="Calibri" w:cs="Tahoma"/>
              <w:color w:val="000000"/>
              <w:lang w:eastAsia="ar-SA"/>
            </w:rPr>
            <w:t>наиболее</w:t>
          </w:r>
          <w:r>
            <w:rPr>
              <w:rFonts w:eastAsia="Calibri" w:cs="Tahoma"/>
              <w:color w:val="000000"/>
              <w:lang w:eastAsia="ar-SA"/>
            </w:rPr>
            <w:t xml:space="preserve"> низкая - в</w:t>
          </w:r>
          <w:r>
            <w:rPr>
              <w:rFonts w:eastAsia="Calibri" w:cs="Tahoma"/>
              <w:color w:val="000000"/>
              <w:lang w:eastAsia="ar-SA"/>
            </w:rPr>
            <w:t xml:space="preserve"> </w:t>
          </w:r>
          <w:r>
            <w:rPr>
              <w:rFonts w:eastAsia="Calibri" w:cs="Tahoma"/>
              <w:color w:val="000000"/>
              <w:lang w:eastAsia="ar-SA"/>
            </w:rPr>
            <w:t xml:space="preserve">Клетнянском муниципальном районе </w:t>
          </w:r>
          <w:r>
            <w:rPr>
              <w:rFonts w:eastAsia="Calibri" w:cs="Tahoma"/>
              <w:color w:val="000000"/>
              <w:lang w:eastAsia="ar-SA"/>
            </w:rPr>
            <w:t>(</w:t>
          </w:r>
          <w:r>
            <w:rPr>
              <w:rFonts w:eastAsia="Calibri" w:cs="Tahoma"/>
              <w:color w:val="000000"/>
              <w:lang w:eastAsia="ar-SA"/>
            </w:rPr>
            <w:t>14137,5</w:t>
          </w:r>
          <w:r>
            <w:rPr>
              <w:rFonts w:eastAsia="Calibri" w:cs="Tahoma"/>
              <w:color w:val="000000"/>
              <w:lang w:eastAsia="ar-SA"/>
            </w:rPr>
            <w:t xml:space="preserve"> рубля).</w:t>
          </w:r>
        </w:p>
        <w:p w:rsidR="008E239A" w:rsidRDefault="00D61E62">
          <w:pPr>
            <w:suppressAutoHyphens/>
            <w:ind w:firstLine="709"/>
            <w:contextualSpacing/>
            <w:jc w:val="both"/>
          </w:pPr>
          <w:r>
            <w:rPr>
              <w:rFonts w:eastAsia="Calibri" w:cs="Tahoma"/>
              <w:color w:val="000000"/>
              <w:lang w:eastAsia="en-US"/>
            </w:rPr>
            <w:t xml:space="preserve">Положительная динамика показателя в 2023 году </w:t>
          </w:r>
          <w:r>
            <w:rPr>
              <w:rFonts w:eastAsia="Calibri" w:cs="Tahoma"/>
              <w:color w:val="000000"/>
              <w:lang w:eastAsia="en-US"/>
            </w:rPr>
            <w:t xml:space="preserve">к </w:t>
          </w:r>
          <w:r>
            <w:rPr>
              <w:rFonts w:eastAsia="Calibri" w:cs="Tahoma"/>
              <w:color w:val="000000"/>
              <w:lang w:eastAsia="en-US"/>
            </w:rPr>
            <w:t>уровню 2022 года отмечена во всех муниципальных образованиях.</w:t>
          </w:r>
        </w:p>
        <w:p w:rsidR="008E239A" w:rsidRDefault="00D61E62">
          <w:pPr>
            <w:suppressAutoHyphens/>
            <w:ind w:firstLine="709"/>
            <w:contextualSpacing/>
            <w:jc w:val="both"/>
          </w:pPr>
          <w:r>
            <w:rPr>
              <w:rFonts w:eastAsia="Calibri"/>
              <w:color w:val="000000"/>
              <w:lang w:eastAsia="en-US"/>
            </w:rPr>
            <w:t xml:space="preserve">Наибольшая динамика роста показателя к 2022 году сложилась в группе городских округов - в г. </w:t>
          </w:r>
          <w:r>
            <w:rPr>
              <w:rFonts w:eastAsia="Calibri"/>
              <w:color w:val="000000"/>
              <w:lang w:eastAsia="en-US"/>
            </w:rPr>
            <w:t>Клинцы (на 10,52%), г. Новозыбкове (на 7,96%), г. Фокино (на 4,43%); в группе муниципальных районов - в Комаричском (на 44,81%), Карачевском (на 35,65%), Красногорском (на 25,09%), Суражском (на 21,99%), Рогнединском (на 20,98%) районах.</w:t>
          </w:r>
        </w:p>
        <w:p w:rsidR="008E239A" w:rsidRDefault="008E239A">
          <w:pPr>
            <w:suppressAutoHyphens/>
            <w:ind w:firstLine="709"/>
            <w:contextualSpacing/>
            <w:jc w:val="both"/>
          </w:pPr>
        </w:p>
        <w:p w:rsidR="008E239A" w:rsidRDefault="00D61E62">
          <w:pPr>
            <w:suppressAutoHyphens/>
            <w:contextualSpacing/>
            <w:jc w:val="center"/>
          </w:pPr>
          <w:r>
            <w:rPr>
              <w:u w:val="single"/>
            </w:rPr>
            <w:t>Перечень мероприя</w:t>
          </w:r>
          <w:r>
            <w:rPr>
              <w:u w:val="single"/>
            </w:rPr>
            <w:t>тий по повышению результативности деятельности органов местного самоуправления городских округов и муниципальных районов по разделу «Доходы населения»</w:t>
          </w:r>
        </w:p>
        <w:p w:rsidR="008E239A" w:rsidRDefault="008E239A">
          <w:pPr>
            <w:suppressAutoHyphens/>
            <w:contextualSpacing/>
            <w:jc w:val="center"/>
          </w:pPr>
        </w:p>
        <w:p w:rsidR="008E239A" w:rsidRDefault="00D61E62">
          <w:pPr>
            <w:numPr>
              <w:ilvl w:val="0"/>
              <w:numId w:val="2"/>
            </w:numPr>
            <w:suppressAutoHyphens/>
            <w:ind w:left="0" w:firstLine="709"/>
            <w:jc w:val="both"/>
          </w:pPr>
          <w:r>
            <w:rPr>
              <w:bCs/>
            </w:rPr>
            <w:t>Реализация мероприятий государственных программ и региональных проектов Брянской области, направленных н</w:t>
          </w:r>
          <w:r>
            <w:rPr>
              <w:bCs/>
            </w:rPr>
            <w:t xml:space="preserve">а достижение национальных целей развития Российской Федерации, определенных Указом Президента Российской Федерации от </w:t>
          </w:r>
          <w:r>
            <w:rPr>
              <w:bCs/>
              <w:color w:val="000000"/>
              <w:kern w:val="2"/>
              <w:lang w:eastAsia="zh-CN" w:bidi="hi-IN"/>
            </w:rPr>
            <w:t>7 мая 2024 г. № 309 «О национальных целях развития Российской Федерации на период до 2030 года и на перспективу до 2036 года»</w:t>
          </w:r>
          <w:r>
            <w:rPr>
              <w:bCs/>
            </w:rPr>
            <w:t xml:space="preserve">. </w:t>
          </w:r>
        </w:p>
        <w:p w:rsidR="008E239A" w:rsidRDefault="00D61E62">
          <w:pPr>
            <w:numPr>
              <w:ilvl w:val="0"/>
              <w:numId w:val="2"/>
            </w:numPr>
            <w:suppressAutoHyphens/>
            <w:ind w:left="0" w:firstLine="709"/>
            <w:jc w:val="both"/>
          </w:pPr>
          <w:r>
            <w:t xml:space="preserve">Включение </w:t>
          </w:r>
          <w:r>
            <w:t>в территориальные соглашения по регулированию социально-трудовых отношений и коллективные договоры мероприятий, направленных на повышение заработной платы работников крупных и средних предприятий и некоммерческих организаций.</w:t>
          </w:r>
        </w:p>
        <w:p w:rsidR="008E239A" w:rsidRDefault="00D61E62">
          <w:pPr>
            <w:numPr>
              <w:ilvl w:val="0"/>
              <w:numId w:val="2"/>
            </w:numPr>
            <w:suppressAutoHyphens/>
            <w:ind w:left="0" w:firstLine="709"/>
            <w:jc w:val="both"/>
          </w:pPr>
          <w:r>
            <w:t>Проведение в рамках системы со</w:t>
          </w:r>
          <w:r>
            <w:t>циального партнерства совместно с работодателями работы, направленной на легализацию выплаты заработной платы, недопущение задолженности по заработной плате.</w:t>
          </w:r>
        </w:p>
        <w:p w:rsidR="008E239A" w:rsidRDefault="008E239A">
          <w:pPr>
            <w:suppressAutoHyphens/>
            <w:jc w:val="both"/>
            <w:rPr>
              <w:i/>
              <w:iCs/>
            </w:rPr>
          </w:pPr>
        </w:p>
        <w:p w:rsidR="008E239A" w:rsidRDefault="00D61E62">
          <w:pPr>
            <w:suppressAutoHyphens/>
            <w:jc w:val="center"/>
          </w:pPr>
          <w:r>
            <w:rPr>
              <w:b/>
              <w:bCs/>
            </w:rPr>
            <w:t>2. ДОШКОЛЬНОЕ ОБРАЗОВАНИЕ</w:t>
          </w: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 xml:space="preserve">Численность детей в возрасте от 0 до 7 лет </w:t>
          </w:r>
          <w:r>
            <w:rPr>
              <w:rFonts w:eastAsia="Calibri"/>
              <w:color w:val="000000"/>
              <w:lang w:eastAsia="en-US"/>
            </w:rPr>
            <w:t>по состоянию на 1 января 20</w:t>
          </w:r>
          <w:r>
            <w:rPr>
              <w:rFonts w:eastAsia="Calibri"/>
              <w:color w:val="000000"/>
              <w:lang w:eastAsia="en-US"/>
            </w:rPr>
            <w:t xml:space="preserve">24 года </w:t>
          </w:r>
          <w:r>
            <w:rPr>
              <w:rFonts w:eastAsia="Calibri"/>
              <w:lang w:eastAsia="en-US"/>
            </w:rPr>
            <w:t xml:space="preserve">по данным Росстата в Брянской области составила 81510 человек, </w:t>
          </w:r>
          <w:r>
            <w:rPr>
              <w:rFonts w:eastAsia="Calibri"/>
              <w:color w:val="000000"/>
              <w:lang w:eastAsia="en-US"/>
            </w:rPr>
            <w:t xml:space="preserve">в том числе детей от 0 до 3 лет – </w:t>
          </w:r>
          <w:r>
            <w:rPr>
              <w:rFonts w:eastAsia="Calibri"/>
              <w:color w:val="000000"/>
              <w:lang w:eastAsia="en-US"/>
            </w:rPr>
            <w:t>34747</w:t>
          </w:r>
          <w:r>
            <w:rPr>
              <w:rFonts w:eastAsia="Calibri"/>
              <w:color w:val="000000"/>
              <w:lang w:eastAsia="en-US"/>
            </w:rPr>
            <w:t xml:space="preserve"> человек, от 4 до 7 лет – </w:t>
          </w:r>
          <w:r>
            <w:rPr>
              <w:rFonts w:eastAsia="Calibri"/>
              <w:color w:val="000000"/>
              <w:lang w:eastAsia="en-US"/>
            </w:rPr>
            <w:t xml:space="preserve">46763 </w:t>
          </w:r>
          <w:r>
            <w:rPr>
              <w:rFonts w:eastAsia="Calibri"/>
              <w:color w:val="000000"/>
              <w:lang w:eastAsia="en-US"/>
            </w:rPr>
            <w:t xml:space="preserve">человека.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color w:val="000000"/>
              <w:lang w:eastAsia="en-US"/>
            </w:rPr>
            <w:t xml:space="preserve">Численность воспитанников дошкольных образовательных учреждений в 2023 году составила 45179 человек (в </w:t>
          </w:r>
          <w:r>
            <w:rPr>
              <w:rFonts w:eastAsia="Calibri"/>
              <w:color w:val="000000"/>
              <w:lang w:eastAsia="en-US"/>
            </w:rPr>
            <w:t xml:space="preserve">2022 году - 47873 </w:t>
          </w:r>
          <w:r>
            <w:rPr>
              <w:rFonts w:eastAsia="Calibri"/>
              <w:color w:val="000000"/>
              <w:lang w:eastAsia="en-US"/>
            </w:rPr>
            <w:t>человека</w:t>
          </w:r>
          <w:r>
            <w:rPr>
              <w:rFonts w:eastAsia="Calibri"/>
              <w:color w:val="000000"/>
              <w:lang w:eastAsia="en-US"/>
            </w:rPr>
            <w:t xml:space="preserve">), в том числе: в </w:t>
          </w:r>
          <w:r>
            <w:rPr>
              <w:rFonts w:eastAsia="Calibri"/>
              <w:color w:val="000000"/>
              <w:lang w:eastAsia="en-US"/>
            </w:rPr>
            <w:lastRenderedPageBreak/>
            <w:t xml:space="preserve">городской местности — </w:t>
          </w:r>
          <w:r>
            <w:rPr>
              <w:rFonts w:eastAsia="Calibri"/>
              <w:color w:val="000000"/>
              <w:lang w:eastAsia="en-US"/>
            </w:rPr>
            <w:t>39222</w:t>
          </w:r>
          <w:r>
            <w:rPr>
              <w:rFonts w:eastAsia="Calibri"/>
              <w:color w:val="000000"/>
              <w:lang w:eastAsia="en-US"/>
            </w:rPr>
            <w:t xml:space="preserve"> человека (в 2022 году — </w:t>
          </w:r>
          <w:r>
            <w:rPr>
              <w:rFonts w:eastAsia="Calibri"/>
              <w:color w:val="000000"/>
              <w:lang w:eastAsia="en-US"/>
            </w:rPr>
            <w:t>41540</w:t>
          </w:r>
          <w:r>
            <w:rPr>
              <w:rFonts w:eastAsia="Calibri"/>
              <w:color w:val="000000"/>
              <w:lang w:eastAsia="en-US"/>
            </w:rPr>
            <w:t xml:space="preserve"> человек), в сельской местности — </w:t>
          </w:r>
          <w:r>
            <w:rPr>
              <w:rFonts w:eastAsia="Calibri"/>
              <w:color w:val="000000"/>
              <w:lang w:eastAsia="en-US"/>
            </w:rPr>
            <w:t>5957</w:t>
          </w:r>
          <w:r>
            <w:rPr>
              <w:rFonts w:eastAsia="Calibri"/>
              <w:color w:val="000000"/>
              <w:lang w:eastAsia="en-US"/>
            </w:rPr>
            <w:t xml:space="preserve"> человек (в 2022 году — </w:t>
          </w:r>
          <w:r>
            <w:rPr>
              <w:rFonts w:eastAsia="Calibri"/>
              <w:color w:val="000000"/>
              <w:lang w:eastAsia="en-US"/>
            </w:rPr>
            <w:t>6333</w:t>
          </w:r>
          <w:r>
            <w:rPr>
              <w:rFonts w:eastAsia="Calibri"/>
              <w:color w:val="000000"/>
              <w:lang w:eastAsia="en-US"/>
            </w:rPr>
            <w:t xml:space="preserve"> человека).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color w:val="000000"/>
              <w:lang w:eastAsia="en-US"/>
            </w:rPr>
            <w:t>Для обеспечения доступности дошкол</w:t>
          </w:r>
          <w:r>
            <w:rPr>
              <w:rFonts w:eastAsia="Calibri"/>
              <w:color w:val="000000"/>
              <w:lang w:eastAsia="en-US"/>
            </w:rPr>
            <w:t xml:space="preserve">ьного образования в 2023 году </w:t>
          </w:r>
          <w:r>
            <w:rPr>
              <w:rFonts w:eastAsia="Calibri"/>
              <w:color w:val="000000"/>
              <w:lang w:eastAsia="en-US"/>
            </w:rPr>
            <w:t xml:space="preserve">открыты новые детские сады на 200 мест в г. Почепе и на 172 места в г. Жуковка. Строительство детского сада, как и реконструкция здания под детский сад в г. Жуковка, профинансированы за средства областного </w:t>
          </w:r>
          <w:r>
            <w:rPr>
              <w:color w:val="000000"/>
              <w:lang w:eastAsia="zh-CN"/>
            </w:rPr>
            <w:t>бюджета</w:t>
          </w:r>
          <w:r>
            <w:rPr>
              <w:rFonts w:eastAsia="Calibri"/>
              <w:color w:val="000000"/>
              <w:lang w:eastAsia="en-US"/>
            </w:rPr>
            <w:t xml:space="preserve">. </w:t>
          </w:r>
          <w:r>
            <w:rPr>
              <w:bCs/>
              <w:iCs/>
              <w:color w:val="000000"/>
              <w:lang w:eastAsia="zh-CN"/>
            </w:rPr>
            <w:t>В</w:t>
          </w:r>
          <w:r>
            <w:rPr>
              <w:bCs/>
              <w:iCs/>
              <w:color w:val="000000"/>
            </w:rPr>
            <w:t xml:space="preserve"> рамках инвестиционного проекта «Десногр</w:t>
          </w:r>
          <w:r>
            <w:rPr>
              <w:bCs/>
              <w:iCs/>
              <w:color w:val="000000"/>
            </w:rPr>
            <w:t xml:space="preserve">ад Квартал набережных» </w:t>
          </w:r>
          <w:r>
            <w:rPr>
              <w:bCs/>
              <w:iCs/>
              <w:color w:val="000000"/>
              <w:lang w:eastAsia="zh-CN"/>
            </w:rPr>
            <w:t>продолжается</w:t>
          </w:r>
          <w:r>
            <w:rPr>
              <w:bCs/>
              <w:iCs/>
              <w:color w:val="000000"/>
            </w:rPr>
            <w:t xml:space="preserve"> строительство детского сада на 280 мест в микрорайоне по ул. Флотской в Бежицком районе г.Брянска. </w:t>
          </w:r>
        </w:p>
        <w:p w:rsidR="008E239A" w:rsidRDefault="008E239A">
          <w:pPr>
            <w:suppressAutoHyphens/>
            <w:ind w:firstLine="709"/>
            <w:jc w:val="both"/>
            <w:rPr>
              <w:bCs/>
              <w:iCs/>
              <w:color w:val="000000"/>
            </w:rPr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b/>
            </w:rPr>
            <w:t>9. Доля детей в возрасте 1-6 лет, получающих дошкольную образовательную услугу и (или) услугу по их содержанию в муници</w:t>
          </w:r>
          <w:r>
            <w:rPr>
              <w:b/>
            </w:rPr>
            <w:t>пальных образовательных учреждениях, в общей численности детей 1-6 лет (процентов)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 xml:space="preserve">В </w:t>
          </w:r>
          <w:r>
            <w:rPr>
              <w:rFonts w:eastAsia="Calibri"/>
              <w:color w:val="000000"/>
              <w:lang w:eastAsia="en-US"/>
            </w:rPr>
            <w:t xml:space="preserve">среднем </w:t>
          </w:r>
          <w:r>
            <w:rPr>
              <w:rFonts w:eastAsia="Calibri"/>
              <w:lang w:eastAsia="en-US"/>
            </w:rPr>
            <w:t>по Брянской области в 2023 году показатель «Доля детей в возрасте 1-6 лет, получающих дошкольную образовательную услугу и (или) услугу по их сод</w:t>
          </w:r>
          <w:r>
            <w:rPr>
              <w:rFonts w:eastAsia="Calibri"/>
              <w:lang w:eastAsia="en-US"/>
            </w:rPr>
            <w:t>ержанию в муниципал</w:t>
          </w:r>
          <w:r>
            <w:rPr>
              <w:rFonts w:eastAsia="Calibri"/>
              <w:lang w:eastAsia="en-US"/>
            </w:rPr>
            <w:t xml:space="preserve">ьных образовательных учреждениях, в общей численности детей 1 - 6 лет» составил </w:t>
          </w:r>
          <w:r>
            <w:rPr>
              <w:rFonts w:eastAsia="Calibri"/>
              <w:color w:val="000000"/>
              <w:lang w:eastAsia="en-US"/>
            </w:rPr>
            <w:t>54,03%</w:t>
          </w:r>
          <w:r>
            <w:rPr>
              <w:rFonts w:eastAsia="Calibri"/>
              <w:lang w:eastAsia="en-US"/>
            </w:rPr>
            <w:t xml:space="preserve"> (в 2022 году — </w:t>
          </w:r>
          <w:r>
            <w:rPr>
              <w:rFonts w:eastAsia="Calibri"/>
              <w:color w:val="000000"/>
              <w:lang w:eastAsia="en-US"/>
            </w:rPr>
            <w:t>56,83 %</w:t>
          </w:r>
          <w:r>
            <w:rPr>
              <w:rFonts w:eastAsia="Calibri"/>
              <w:lang w:eastAsia="en-US"/>
            </w:rPr>
            <w:t>).</w:t>
          </w:r>
          <w:bookmarkStart w:id="7" w:name="page79R_mcid11"/>
          <w:bookmarkEnd w:id="7"/>
          <w:r>
            <w:rPr>
              <w:rFonts w:eastAsia="Calibri"/>
              <w:lang w:eastAsia="en-US"/>
            </w:rPr>
            <w:t xml:space="preserve"> </w:t>
          </w:r>
          <w:r>
            <w:rPr>
              <w:rFonts w:eastAsia="Calibri"/>
              <w:lang w:eastAsia="en-US"/>
            </w:rPr>
            <w:t xml:space="preserve">Снижение показателя обусловлено снижением рождаемости: по данным Росстата в 2023 году родилось </w:t>
          </w:r>
          <w:r>
            <w:rPr>
              <w:rFonts w:eastAsia="Calibri"/>
              <w:color w:val="000000"/>
              <w:lang w:eastAsia="en-US"/>
            </w:rPr>
            <w:t>7933</w:t>
          </w:r>
          <w:r>
            <w:rPr>
              <w:rFonts w:eastAsia="Calibri"/>
              <w:lang w:eastAsia="en-US"/>
            </w:rPr>
            <w:t xml:space="preserve"> человека, что на </w:t>
          </w:r>
          <w:r>
            <w:rPr>
              <w:rFonts w:eastAsia="Calibri"/>
              <w:color w:val="000000"/>
              <w:lang w:eastAsia="en-US"/>
            </w:rPr>
            <w:t>341</w:t>
          </w:r>
          <w:r>
            <w:rPr>
              <w:rFonts w:eastAsia="Calibri"/>
              <w:lang w:eastAsia="en-US"/>
            </w:rPr>
            <w:t xml:space="preserve"> человека меньше, чем в 2022 году; коэффициент рождаемости составил </w:t>
          </w:r>
          <w:r>
            <w:rPr>
              <w:rFonts w:eastAsia="Calibri"/>
              <w:color w:val="000000"/>
              <w:lang w:eastAsia="en-US"/>
            </w:rPr>
            <w:t>6,9</w:t>
          </w:r>
          <w:r>
            <w:rPr>
              <w:rFonts w:eastAsia="Calibri"/>
              <w:lang w:eastAsia="en-US"/>
            </w:rPr>
            <w:t xml:space="preserve"> человека на 1000 населения (в 2022 году – </w:t>
          </w:r>
          <w:r>
            <w:rPr>
              <w:rFonts w:eastAsia="Calibri"/>
              <w:color w:val="000000"/>
              <w:lang w:eastAsia="en-US"/>
            </w:rPr>
            <w:t>7,1</w:t>
          </w:r>
          <w:r>
            <w:rPr>
              <w:rFonts w:eastAsia="Calibri"/>
              <w:lang w:eastAsia="en-US"/>
            </w:rPr>
            <w:t xml:space="preserve"> человека на 1000 населения).</w:t>
          </w:r>
        </w:p>
        <w:p w:rsidR="008E239A" w:rsidRDefault="00D61E62">
          <w:pPr>
            <w:suppressAutoHyphens/>
            <w:ind w:firstLine="720"/>
            <w:jc w:val="both"/>
          </w:pPr>
          <w:r>
            <w:t>В 2023 году наибольшая доля детей в возрасте от 1 года до 6 лет, получающих дошкольную образовательную услугу</w:t>
          </w:r>
          <w:r>
            <w:t xml:space="preserve"> и (или) услугу по их содержанию в муниципальных образовательных учреждениях, в общей численности детей в возрасте от 1 года до 6 лет, наблюдалась в городских округах - г. </w:t>
          </w:r>
          <w:r>
            <w:rPr>
              <w:color w:val="000000"/>
            </w:rPr>
            <w:t>Брянск</w:t>
          </w:r>
          <w:r>
            <w:t xml:space="preserve"> (</w:t>
          </w:r>
          <w:r>
            <w:rPr>
              <w:color w:val="000000"/>
            </w:rPr>
            <w:t>95,1</w:t>
          </w:r>
          <w:r>
            <w:t xml:space="preserve">%), г. </w:t>
          </w:r>
          <w:r>
            <w:rPr>
              <w:color w:val="000000"/>
            </w:rPr>
            <w:t>Фокино</w:t>
          </w:r>
          <w:r>
            <w:t xml:space="preserve"> (</w:t>
          </w:r>
          <w:r>
            <w:rPr>
              <w:color w:val="000000"/>
            </w:rPr>
            <w:t>86,0</w:t>
          </w:r>
          <w:r>
            <w:t xml:space="preserve">%), г. Сельцо (74,7%); в муниципальных районах — в </w:t>
          </w:r>
          <w:r>
            <w:rPr>
              <w:color w:val="000000"/>
            </w:rPr>
            <w:t>Ду</w:t>
          </w:r>
          <w:r>
            <w:rPr>
              <w:color w:val="000000"/>
            </w:rPr>
            <w:t>бровском</w:t>
          </w:r>
          <w:r>
            <w:t xml:space="preserve"> (</w:t>
          </w:r>
          <w:r>
            <w:rPr>
              <w:color w:val="000000"/>
            </w:rPr>
            <w:t>68,1</w:t>
          </w:r>
          <w:r>
            <w:t xml:space="preserve">%), </w:t>
          </w:r>
          <w:r>
            <w:rPr>
              <w:color w:val="000000"/>
            </w:rPr>
            <w:t>Почепском</w:t>
          </w:r>
          <w:r>
            <w:t xml:space="preserve"> (</w:t>
          </w:r>
          <w:r>
            <w:rPr>
              <w:color w:val="000000"/>
            </w:rPr>
            <w:t>68,1</w:t>
          </w:r>
          <w:r>
            <w:t>%), Дятьковском (</w:t>
          </w:r>
          <w:r>
            <w:rPr>
              <w:color w:val="000000"/>
            </w:rPr>
            <w:t>68,0</w:t>
          </w:r>
          <w:r>
            <w:t>%), Унечском (65,4%).</w:t>
          </w:r>
        </w:p>
        <w:p w:rsidR="008E239A" w:rsidRDefault="00D61E62">
          <w:pPr>
            <w:suppressAutoHyphens/>
            <w:ind w:firstLine="720"/>
            <w:jc w:val="both"/>
          </w:pPr>
          <w:r>
            <w:rPr>
              <w:rFonts w:eastAsia="Calibri"/>
              <w:lang w:eastAsia="en-US"/>
            </w:rPr>
            <w:t xml:space="preserve">Наименьшее значение показателя: в группе городских округов — в г.Новозыбкове (63,5%), г. Клинцы (73,7%), в группе муниципальных районов: в </w:t>
          </w:r>
          <w:r>
            <w:rPr>
              <w:rFonts w:eastAsia="Calibri"/>
              <w:color w:val="000000"/>
              <w:lang w:eastAsia="en-US"/>
            </w:rPr>
            <w:t>Комаричском (27,2%)</w:t>
          </w:r>
          <w:r>
            <w:rPr>
              <w:rFonts w:eastAsia="Calibri"/>
              <w:lang w:eastAsia="en-US"/>
            </w:rPr>
            <w:t xml:space="preserve">, </w:t>
          </w:r>
          <w:r>
            <w:rPr>
              <w:rFonts w:eastAsia="Calibri"/>
              <w:color w:val="000000"/>
              <w:lang w:eastAsia="en-US"/>
            </w:rPr>
            <w:t>Гордеевском (32,2</w:t>
          </w:r>
          <w:r>
            <w:rPr>
              <w:rFonts w:eastAsia="Calibri"/>
              <w:lang w:eastAsia="en-US"/>
            </w:rPr>
            <w:t> %)</w:t>
          </w:r>
          <w:r>
            <w:rPr>
              <w:rFonts w:eastAsia="Calibri"/>
              <w:lang w:eastAsia="en-US"/>
            </w:rPr>
            <w:t xml:space="preserve">, </w:t>
          </w:r>
          <w:r>
            <w:rPr>
              <w:rFonts w:eastAsia="Calibri"/>
              <w:color w:val="000000"/>
              <w:lang w:eastAsia="en-US"/>
            </w:rPr>
            <w:t>Рогнединском (32,9</w:t>
          </w:r>
          <w:r>
            <w:rPr>
              <w:rFonts w:eastAsia="Calibri"/>
              <w:lang w:eastAsia="en-US"/>
            </w:rPr>
            <w:t>%).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 xml:space="preserve">Увеличение показателя «Доля детей в возрасте 1-6 лет, получающих дошкольную образовательную услугу и (или) услугу по их содержанию в муниципальных образовательных учреждениях, в общей численности детей 1-6 лет» </w:t>
          </w:r>
          <w:r>
            <w:rPr>
              <w:rFonts w:eastAsia="Calibri"/>
              <w:color w:val="000000"/>
              <w:lang w:eastAsia="en-US"/>
            </w:rPr>
            <w:t>наблюдалось</w:t>
          </w:r>
          <w:r>
            <w:rPr>
              <w:rFonts w:eastAsia="Calibri"/>
              <w:lang w:eastAsia="en-US"/>
            </w:rPr>
            <w:t xml:space="preserve"> в </w:t>
          </w:r>
          <w:r>
            <w:rPr>
              <w:rFonts w:eastAsia="Calibri"/>
              <w:color w:val="000000"/>
              <w:lang w:eastAsia="en-US"/>
            </w:rPr>
            <w:t>5-ти</w:t>
          </w:r>
          <w:r>
            <w:rPr>
              <w:rFonts w:eastAsia="Calibri"/>
              <w:lang w:eastAsia="en-US"/>
            </w:rPr>
            <w:t xml:space="preserve"> му</w:t>
          </w:r>
          <w:r>
            <w:rPr>
              <w:rFonts w:eastAsia="Calibri"/>
              <w:lang w:eastAsia="en-US"/>
            </w:rPr>
            <w:t xml:space="preserve">ниципальных районах: в </w:t>
          </w:r>
          <w:r>
            <w:rPr>
              <w:rFonts w:eastAsia="Calibri"/>
              <w:color w:val="000000"/>
              <w:lang w:eastAsia="en-US"/>
            </w:rPr>
            <w:t>Дубровском</w:t>
          </w:r>
          <w:r>
            <w:rPr>
              <w:rFonts w:eastAsia="Calibri"/>
              <w:lang w:eastAsia="en-US"/>
            </w:rPr>
            <w:t xml:space="preserve"> (на </w:t>
          </w:r>
          <w:r>
            <w:rPr>
              <w:rFonts w:eastAsia="Calibri"/>
              <w:color w:val="000000"/>
              <w:lang w:eastAsia="en-US"/>
            </w:rPr>
            <w:t>12,4</w:t>
          </w:r>
          <w:r>
            <w:rPr>
              <w:rFonts w:eastAsia="Calibri"/>
              <w:lang w:eastAsia="en-US"/>
            </w:rPr>
            <w:t xml:space="preserve"> п.п.), </w:t>
          </w:r>
          <w:r>
            <w:rPr>
              <w:rFonts w:eastAsia="Calibri"/>
              <w:color w:val="000000"/>
              <w:lang w:eastAsia="en-US"/>
            </w:rPr>
            <w:t>Красногорском</w:t>
          </w:r>
          <w:r>
            <w:rPr>
              <w:rFonts w:eastAsia="Calibri"/>
              <w:lang w:eastAsia="en-US"/>
            </w:rPr>
            <w:t xml:space="preserve"> (на </w:t>
          </w:r>
          <w:r>
            <w:rPr>
              <w:rFonts w:eastAsia="Calibri"/>
              <w:color w:val="000000"/>
              <w:lang w:eastAsia="en-US"/>
            </w:rPr>
            <w:t>1,6</w:t>
          </w:r>
          <w:r>
            <w:rPr>
              <w:rFonts w:eastAsia="Calibri"/>
              <w:lang w:eastAsia="en-US"/>
            </w:rPr>
            <w:t xml:space="preserve"> п.п.), </w:t>
          </w:r>
          <w:r>
            <w:rPr>
              <w:rFonts w:eastAsia="Calibri"/>
              <w:color w:val="000000"/>
              <w:lang w:eastAsia="en-US"/>
            </w:rPr>
            <w:t>Навлинском</w:t>
          </w:r>
          <w:r>
            <w:rPr>
              <w:rFonts w:eastAsia="Calibri"/>
              <w:lang w:eastAsia="en-US"/>
            </w:rPr>
            <w:t xml:space="preserve"> (на </w:t>
          </w:r>
          <w:r>
            <w:rPr>
              <w:rFonts w:eastAsia="Calibri"/>
              <w:color w:val="000000"/>
              <w:lang w:eastAsia="en-US"/>
            </w:rPr>
            <w:t>1,2</w:t>
          </w:r>
          <w:r>
            <w:rPr>
              <w:rFonts w:eastAsia="Calibri"/>
              <w:lang w:eastAsia="en-US"/>
            </w:rPr>
            <w:t xml:space="preserve"> п.п.), Почепском (на 1,4 п.п), Севском (на 1,3 п.п.); в городском округе г. Брянск (на 2,9 п.п.).</w:t>
          </w:r>
        </w:p>
        <w:p w:rsidR="008E239A" w:rsidRDefault="00D61E62">
          <w:pPr>
            <w:suppressAutoHyphens/>
            <w:ind w:firstLine="709"/>
            <w:jc w:val="both"/>
          </w:pPr>
          <w:bookmarkStart w:id="8" w:name="page30R_mcid101"/>
          <w:bookmarkEnd w:id="8"/>
          <w:r>
            <w:rPr>
              <w:rFonts w:eastAsia="Calibri"/>
              <w:lang w:eastAsia="en-US"/>
            </w:rPr>
            <w:t>В</w:t>
          </w:r>
          <w:bookmarkStart w:id="9" w:name="page30R_mcid102"/>
          <w:bookmarkEnd w:id="9"/>
          <w:r>
            <w:rPr>
              <w:rFonts w:eastAsia="Calibri"/>
              <w:lang w:eastAsia="en-US"/>
            </w:rPr>
            <w:t xml:space="preserve"> </w:t>
          </w:r>
          <w:r>
            <w:rPr>
              <w:rFonts w:eastAsia="Calibri"/>
              <w:color w:val="000000"/>
              <w:lang w:eastAsia="en-US"/>
            </w:rPr>
            <w:t>24 муниципальных образованиях</w:t>
          </w:r>
          <w:bookmarkStart w:id="10" w:name="page30R_mcid104"/>
          <w:bookmarkEnd w:id="10"/>
          <w:r>
            <w:rPr>
              <w:rFonts w:eastAsia="Calibri"/>
              <w:lang w:eastAsia="en-US"/>
            </w:rPr>
            <w:t xml:space="preserve"> наблюдалось</w:t>
          </w:r>
          <w:bookmarkStart w:id="11" w:name="page30R_mcid105"/>
          <w:bookmarkEnd w:id="11"/>
          <w:r>
            <w:rPr>
              <w:rFonts w:eastAsia="Calibri"/>
              <w:lang w:eastAsia="en-US"/>
            </w:rPr>
            <w:t xml:space="preserve"> снижение показателя. Наибольшее снижение </w:t>
          </w:r>
          <w:r>
            <w:rPr>
              <w:rFonts w:eastAsia="Calibri"/>
              <w:color w:val="000000"/>
              <w:lang w:eastAsia="en-US"/>
            </w:rPr>
            <w:t>показателя</w:t>
          </w:r>
          <w:r>
            <w:rPr>
              <w:rFonts w:eastAsia="Calibri"/>
              <w:lang w:eastAsia="en-US"/>
            </w:rPr>
            <w:t xml:space="preserve"> отмечено</w:t>
          </w:r>
          <w:bookmarkStart w:id="12" w:name="page30R_mcid126"/>
          <w:bookmarkEnd w:id="12"/>
          <w:r>
            <w:rPr>
              <w:rFonts w:eastAsia="Calibri"/>
              <w:lang w:eastAsia="en-US"/>
            </w:rPr>
            <w:t xml:space="preserve"> в </w:t>
          </w:r>
          <w:bookmarkStart w:id="13" w:name="page30R_mcid136"/>
          <w:bookmarkEnd w:id="13"/>
          <w:r>
            <w:rPr>
              <w:rFonts w:eastAsia="Calibri"/>
              <w:lang w:eastAsia="en-US"/>
            </w:rPr>
            <w:t xml:space="preserve">городском округе г. Сельцо (на 9,1 п.п.), в </w:t>
          </w:r>
          <w:r>
            <w:rPr>
              <w:rFonts w:eastAsia="Calibri"/>
              <w:color w:val="000000"/>
              <w:lang w:eastAsia="en-US"/>
            </w:rPr>
            <w:t xml:space="preserve">Выгоничском (на 7,8 п.п.), </w:t>
          </w:r>
          <w:r>
            <w:rPr>
              <w:rFonts w:eastAsia="Calibri"/>
              <w:color w:val="000000"/>
              <w:lang w:eastAsia="en-US"/>
            </w:rPr>
            <w:t xml:space="preserve">Карачевском </w:t>
          </w:r>
          <w:r>
            <w:rPr>
              <w:rFonts w:eastAsia="Calibri"/>
              <w:lang w:eastAsia="en-US"/>
            </w:rPr>
            <w:t>(н</w:t>
          </w:r>
          <w:bookmarkStart w:id="14" w:name="page30R_mcid137"/>
          <w:bookmarkEnd w:id="14"/>
          <w:r>
            <w:rPr>
              <w:rFonts w:eastAsia="Calibri"/>
              <w:lang w:eastAsia="en-US"/>
            </w:rPr>
            <w:t xml:space="preserve">а </w:t>
          </w:r>
          <w:r>
            <w:rPr>
              <w:rFonts w:eastAsia="Calibri"/>
              <w:color w:val="000000"/>
              <w:lang w:eastAsia="en-US"/>
            </w:rPr>
            <w:t>7,4</w:t>
          </w:r>
          <w:r>
            <w:rPr>
              <w:rFonts w:eastAsia="Calibri"/>
              <w:lang w:eastAsia="en-US"/>
            </w:rPr>
            <w:t xml:space="preserve"> п.п.) муниципальных районах.</w:t>
          </w: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b/>
            </w:rPr>
            <w:lastRenderedPageBreak/>
            <w:t>10. Доля</w:t>
          </w:r>
          <w:r>
            <w:t xml:space="preserve"> </w:t>
          </w:r>
          <w:r>
            <w:rPr>
              <w:b/>
            </w:rPr>
            <w:t>детей в возрасте 1-6 лет, состоящих на учете для определения в</w:t>
          </w:r>
          <w:r>
            <w:rPr>
              <w:b/>
            </w:rPr>
            <w:t xml:space="preserve"> муниципальные дошкольные образовательные учреждения, в общей численности детей в возрасте 1-6 лет (процентов)</w:t>
          </w:r>
        </w:p>
        <w:p w:rsidR="008E239A" w:rsidRDefault="00D61E62">
          <w:pPr>
            <w:suppressAutoHyphens/>
            <w:ind w:firstLine="709"/>
            <w:jc w:val="both"/>
          </w:pPr>
          <w:r>
            <w:t>Доля детей в возрасте 1-6 лет, состоящих на учете для определения в муниципальные дошкольные образовательные учреждения, в общей численности дете</w:t>
          </w:r>
          <w:r>
            <w:t xml:space="preserve">й в возрасте 1-6 лет в </w:t>
          </w:r>
          <w:r>
            <w:rPr>
              <w:color w:val="000000"/>
            </w:rPr>
            <w:t>среднем</w:t>
          </w:r>
          <w:r>
            <w:t xml:space="preserve"> по Брянской области снизилась на </w:t>
          </w:r>
          <w:r>
            <w:rPr>
              <w:color w:val="000000"/>
            </w:rPr>
            <w:t>0,31</w:t>
          </w:r>
          <w:r>
            <w:t xml:space="preserve"> п.п. и в 2023 году составила </w:t>
          </w:r>
          <w:r>
            <w:rPr>
              <w:color w:val="000000"/>
            </w:rPr>
            <w:t>4,02%</w:t>
          </w:r>
          <w:r>
            <w:t>.</w:t>
          </w:r>
        </w:p>
        <w:p w:rsidR="008E239A" w:rsidRDefault="00D61E62">
          <w:pPr>
            <w:suppressAutoHyphens/>
            <w:ind w:firstLine="709"/>
            <w:jc w:val="both"/>
          </w:pPr>
          <w:r>
            <w:t>В группе городских округов доля детей в возрасте 1-6 лет, состоящих на учете для определения в муниципальные дошкольные образовательные учреждения, сни</w:t>
          </w:r>
          <w:r>
            <w:t xml:space="preserve">зилась в городском округе г. </w:t>
          </w:r>
          <w:r>
            <w:rPr>
              <w:color w:val="000000"/>
            </w:rPr>
            <w:t>Клинцы</w:t>
          </w:r>
          <w:r>
            <w:t xml:space="preserve"> на </w:t>
          </w:r>
          <w:r>
            <w:rPr>
              <w:color w:val="000000"/>
            </w:rPr>
            <w:t xml:space="preserve">1,0 </w:t>
          </w:r>
          <w:r>
            <w:t xml:space="preserve">п.п к уровню 2022 года. В городском округе г. </w:t>
          </w:r>
          <w:r>
            <w:rPr>
              <w:color w:val="000000"/>
            </w:rPr>
            <w:t>Фокино</w:t>
          </w:r>
          <w:r>
            <w:t xml:space="preserve"> </w:t>
          </w:r>
          <w:r>
            <w:rPr>
              <w:color w:val="000000"/>
            </w:rPr>
            <w:t>показатель увеличился на 8,7 п.п к уровню 2022 года. В</w:t>
          </w:r>
          <w:r>
            <w:t xml:space="preserve"> городском округе г. Новозыбков </w:t>
          </w:r>
          <w:r>
            <w:rPr>
              <w:color w:val="000000"/>
            </w:rPr>
            <w:t xml:space="preserve">показатель сохранился на уровне 2022 года. В городских </w:t>
          </w:r>
          <w:r>
            <w:t xml:space="preserve">округах г. Брянск, </w:t>
          </w:r>
          <w:r>
            <w:t>г. Сельцо д</w:t>
          </w:r>
          <w:r>
            <w:rPr>
              <w:color w:val="000000"/>
            </w:rPr>
            <w:t>ети в возрасте от 1 до 6 лет обеспечены местами в дошкольных образовательных учреждениях.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В группе муниципальных районов </w:t>
          </w:r>
          <w:r>
            <w:rPr>
              <w:color w:val="000000"/>
            </w:rPr>
            <w:t>снижение</w:t>
          </w:r>
          <w:r>
            <w:t xml:space="preserve"> доли детей в возрасте 1-6 лет, состоящих на учете для определения в муниципальные дошкольные образовательные учрежд</w:t>
          </w:r>
          <w:r>
            <w:t xml:space="preserve">ения, в общей численности детей в возрасте 1-6 лет отмечено в </w:t>
          </w:r>
          <w:r>
            <w:rPr>
              <w:color w:val="000000"/>
            </w:rPr>
            <w:t>четырех</w:t>
          </w:r>
          <w:r>
            <w:t xml:space="preserve"> муниципальных районах: в Клетнянском (на 2,4 п.п.), Климовском (на 0,6 п.п.), Суражском (на 0,3 п.п.), Стародубском муниципальном округе (на 0,3 п.п.).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color w:val="000000"/>
            </w:rPr>
            <w:t>Увеличение показателя к уровню 202</w:t>
          </w:r>
          <w:r>
            <w:rPr>
              <w:color w:val="000000"/>
            </w:rPr>
            <w:t>2 года отмечено в Брасовском (</w:t>
          </w:r>
          <w:r>
            <w:t xml:space="preserve">на </w:t>
          </w:r>
          <w:r>
            <w:rPr>
              <w:color w:val="000000"/>
            </w:rPr>
            <w:t>0,4</w:t>
          </w:r>
          <w:r>
            <w:t xml:space="preserve"> </w:t>
          </w:r>
          <w:r>
            <w:rPr>
              <w:color w:val="000000"/>
            </w:rPr>
            <w:t>п.п.)</w:t>
          </w:r>
          <w:r>
            <w:t xml:space="preserve">, Брянском (на 0,1 п.п.), Дубровском (на 0,8 п.п.), Злынковском (на 1,0 п.п.), </w:t>
          </w:r>
          <w:r>
            <w:rPr>
              <w:color w:val="000000"/>
            </w:rPr>
            <w:t xml:space="preserve"> Трубчевском (на 2,4 п.п</w:t>
          </w:r>
          <w:r>
            <w:t>.) муниципальных районах.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В </w:t>
          </w:r>
          <w:r>
            <w:rPr>
              <w:color w:val="000000"/>
            </w:rPr>
            <w:t>14</w:t>
          </w:r>
          <w:r>
            <w:t xml:space="preserve"> муниципальных районах (Выгоничском, Гордеевском, Дятьковском, Жирятинском, Карач</w:t>
          </w:r>
          <w:r>
            <w:t>евском, Клинцовском, Комаричском, Красногорском, Мглинском, Навлинском, Погарском, Рогнединском, Суземском, Унечском) все дети в возрасте 1-6 лет обеспечены местами в муниципальных дошкольных образовательных учреждениях.</w:t>
          </w: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b/>
            </w:rPr>
            <w:t xml:space="preserve">11. Доля муниципальных дошкольных </w:t>
          </w:r>
          <w:r>
            <w:rPr>
              <w:b/>
            </w:rPr>
            <w:t>образовательных учреждений, здания которых находятся в аварийном состоянии или требуют капитального ремонта, в общем числе муниципальных дошкольных образовательных учреждений (процентов)</w:t>
          </w:r>
        </w:p>
        <w:p w:rsidR="008E239A" w:rsidRDefault="00D61E62">
          <w:pPr>
            <w:ind w:firstLine="720"/>
            <w:jc w:val="both"/>
          </w:pPr>
          <w:r>
            <w:t xml:space="preserve">В целом по области значение показателя в 2023 году составило </w:t>
          </w:r>
          <w:r>
            <w:rPr>
              <w:color w:val="000000"/>
            </w:rPr>
            <w:t>18,0</w:t>
          </w:r>
          <w:r>
            <w:t>% (в</w:t>
          </w:r>
          <w:r>
            <w:t xml:space="preserve"> 20</w:t>
          </w:r>
          <w:r>
            <w:rPr>
              <w:color w:val="000000"/>
            </w:rPr>
            <w:t>22</w:t>
          </w:r>
          <w:r>
            <w:t xml:space="preserve"> году –</w:t>
          </w:r>
          <w:r>
            <w:rPr>
              <w:color w:val="000000"/>
            </w:rPr>
            <w:t>0,0</w:t>
          </w:r>
          <w:r>
            <w:t>%).</w:t>
          </w:r>
        </w:p>
        <w:p w:rsidR="008E239A" w:rsidRDefault="00D61E62">
          <w:pPr>
            <w:suppressAutoHyphens/>
            <w:ind w:firstLine="720"/>
            <w:jc w:val="both"/>
          </w:pPr>
          <w:r>
            <w:t xml:space="preserve">В 17 районах области и в городских округах г. </w:t>
          </w:r>
          <w:r>
            <w:rPr>
              <w:color w:val="000000"/>
            </w:rPr>
            <w:t>Брянск и г. Клинцы</w:t>
          </w:r>
          <w:r>
            <w:t xml:space="preserve"> отсутствуют муниципальные дошкольные образовательные учреждения, здания которых требуют капитального ремонта.</w:t>
          </w:r>
        </w:p>
        <w:p w:rsidR="008E239A" w:rsidRDefault="008E239A">
          <w:pPr>
            <w:suppressAutoHyphens/>
            <w:ind w:firstLine="709"/>
            <w:jc w:val="center"/>
            <w:rPr>
              <w:u w:val="single"/>
            </w:rPr>
          </w:pPr>
        </w:p>
        <w:p w:rsidR="008E239A" w:rsidRDefault="00D61E62">
          <w:pPr>
            <w:suppressAutoHyphens/>
            <w:ind w:firstLine="709"/>
            <w:jc w:val="center"/>
          </w:pPr>
          <w:r>
            <w:rPr>
              <w:u w:val="single"/>
            </w:rPr>
            <w:t>Перечень мероприятий по повышению результативности деятельнос</w:t>
          </w:r>
          <w:r>
            <w:rPr>
              <w:u w:val="single"/>
            </w:rPr>
            <w:t>ти органов местного самоуправления</w:t>
          </w:r>
          <w:r>
            <w:rPr>
              <w:bCs/>
              <w:u w:val="single"/>
            </w:rPr>
            <w:t xml:space="preserve"> городских округов и                                                                                     муниципальных районов в сфере «Дошкольное образование»</w:t>
          </w:r>
        </w:p>
        <w:p w:rsidR="008E239A" w:rsidRDefault="008E239A">
          <w:pPr>
            <w:suppressAutoHyphens/>
            <w:ind w:firstLine="709"/>
            <w:jc w:val="center"/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</w:rPr>
            <w:lastRenderedPageBreak/>
            <w:t xml:space="preserve">1. </w:t>
          </w:r>
          <w:r>
            <w:rPr>
              <w:rFonts w:eastAsia="Calibri"/>
              <w:color w:val="000000"/>
            </w:rPr>
            <w:t>Р</w:t>
          </w:r>
          <w:r>
            <w:rPr>
              <w:rFonts w:eastAsia="Calibri"/>
            </w:rPr>
            <w:t xml:space="preserve">еализация </w:t>
          </w:r>
          <w:r>
            <w:rPr>
              <w:rFonts w:eastAsia="Calibri"/>
              <w:color w:val="000000"/>
            </w:rPr>
            <w:t>мероприятий, направленных на р</w:t>
          </w:r>
          <w:r>
            <w:rPr>
              <w:rFonts w:eastAsia="Calibri"/>
            </w:rPr>
            <w:t xml:space="preserve">азвитие дошкольного и общего образования детей государственной программы </w:t>
          </w:r>
          <w:r>
            <w:rPr>
              <w:rFonts w:eastAsia="Calibri"/>
              <w:color w:val="000000"/>
            </w:rPr>
            <w:t>Брянской</w:t>
          </w:r>
          <w:r>
            <w:rPr>
              <w:rFonts w:eastAsia="Calibri"/>
            </w:rPr>
            <w:t xml:space="preserve"> области «Развитие образования и науки  </w:t>
          </w:r>
          <w:r>
            <w:rPr>
              <w:rFonts w:eastAsia="Calibri"/>
              <w:color w:val="000000"/>
            </w:rPr>
            <w:t>Брянской</w:t>
          </w:r>
          <w:r>
            <w:rPr>
              <w:rFonts w:eastAsia="Calibri"/>
            </w:rPr>
            <w:t xml:space="preserve"> области».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</w:rPr>
            <w:t>2. Продолжение работы по развитию вариативных форм дошкольного образования, развитию негосударственного сектора дошк</w:t>
          </w:r>
          <w:r>
            <w:rPr>
              <w:rFonts w:eastAsia="Calibri"/>
            </w:rPr>
            <w:t>ольного образования.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</w:rPr>
            <w:t xml:space="preserve">3. </w:t>
          </w:r>
          <w:r>
            <w:t xml:space="preserve"> Продолжение строительства и реконструкции детских садов.</w:t>
          </w:r>
        </w:p>
        <w:p w:rsidR="008E239A" w:rsidRDefault="008E239A">
          <w:pPr>
            <w:suppressAutoHyphens/>
            <w:jc w:val="center"/>
          </w:pPr>
        </w:p>
        <w:p w:rsidR="008E239A" w:rsidRDefault="00D61E62">
          <w:pPr>
            <w:suppressAutoHyphens/>
            <w:jc w:val="center"/>
          </w:pPr>
          <w:r>
            <w:rPr>
              <w:b/>
              <w:bCs/>
            </w:rPr>
            <w:t>3. ОБЩЕЕ И ДОПОЛНИТЕЛЬНОЕ ОБРАЗОВАНИЕ</w:t>
          </w:r>
        </w:p>
        <w:p w:rsidR="008E239A" w:rsidRDefault="008E239A">
          <w:pPr>
            <w:suppressAutoHyphens/>
            <w:jc w:val="center"/>
          </w:pPr>
        </w:p>
        <w:p w:rsidR="008E239A" w:rsidRDefault="00D61E62">
          <w:pPr>
            <w:tabs>
              <w:tab w:val="left" w:pos="708"/>
              <w:tab w:val="center" w:pos="4153"/>
              <w:tab w:val="right" w:pos="8931"/>
            </w:tabs>
            <w:suppressAutoHyphens/>
            <w:ind w:firstLine="709"/>
            <w:jc w:val="both"/>
          </w:pPr>
          <w:r>
            <w:t>В Брянской области ведется целенаправленная работа по повышению доступности, эффективности и качества образования.</w:t>
          </w:r>
        </w:p>
        <w:p w:rsidR="008E239A" w:rsidRDefault="00D61E62">
          <w:pPr>
            <w:tabs>
              <w:tab w:val="left" w:pos="708"/>
              <w:tab w:val="center" w:pos="4153"/>
              <w:tab w:val="right" w:pos="8931"/>
            </w:tabs>
            <w:suppressAutoHyphens/>
            <w:ind w:firstLine="709"/>
            <w:jc w:val="both"/>
          </w:pPr>
          <w:r>
            <w:tab/>
          </w:r>
          <w:r>
            <w:rPr>
              <w:rFonts w:eastAsia="MS Mincho;ＭＳ 明朝"/>
              <w:color w:val="000000"/>
              <w:lang w:eastAsia="ja-JP"/>
            </w:rPr>
            <w:t>В</w:t>
          </w:r>
          <w:r>
            <w:t xml:space="preserve"> сфере образовани</w:t>
          </w:r>
          <w:r>
            <w:t xml:space="preserve">я в рамках национального проекта «Образование» реализуются </w:t>
          </w:r>
          <w:r>
            <w:rPr>
              <w:rFonts w:eastAsia="MS Mincho;ＭＳ 明朝"/>
              <w:color w:val="000000"/>
              <w:lang w:eastAsia="ja-JP"/>
            </w:rPr>
            <w:t>4</w:t>
          </w:r>
          <w:r>
            <w:t xml:space="preserve"> региональных проекта: «Современная школа», «Успех каждого ребенка»,  «Цифровая образовательная среда», «Патриотическое воспитание».</w:t>
          </w:r>
        </w:p>
        <w:p w:rsidR="008E239A" w:rsidRDefault="00D61E62">
          <w:pPr>
            <w:pStyle w:val="afe"/>
            <w:spacing w:before="0" w:after="0"/>
            <w:ind w:firstLine="709"/>
            <w:jc w:val="both"/>
          </w:pPr>
          <w:r>
            <w:t xml:space="preserve">В рамках </w:t>
          </w:r>
          <w:r>
            <w:t xml:space="preserve">реализации мероприятий </w:t>
          </w:r>
          <w:r>
            <w:t xml:space="preserve">регионального проекта </w:t>
          </w:r>
          <w:r>
            <w:t>«Современная школа (</w:t>
          </w:r>
          <w:r>
            <w:t>Брянская область)</w:t>
          </w:r>
          <w:r>
            <w:t xml:space="preserve">» </w:t>
          </w:r>
          <w:r>
            <w:rPr>
              <w:color w:val="000000"/>
            </w:rPr>
            <w:t xml:space="preserve">ведется строительство двух объектов: </w:t>
          </w:r>
        </w:p>
        <w:p w:rsidR="008E239A" w:rsidRDefault="00D61E62">
          <w:pPr>
            <w:pStyle w:val="aff5"/>
            <w:ind w:firstLine="709"/>
            <w:jc w:val="both"/>
          </w:pPr>
          <w:r>
            <w:rPr>
              <w:b w:val="0"/>
              <w:bCs w:val="0"/>
              <w:color w:val="000000"/>
              <w:sz w:val="28"/>
              <w:szCs w:val="28"/>
            </w:rPr>
            <w:t>«Школа в микрорайоне по ул. Флотской в Бежицком р</w:t>
          </w:r>
          <w:r>
            <w:rPr>
              <w:b w:val="0"/>
              <w:bCs w:val="0"/>
              <w:color w:val="000000"/>
              <w:sz w:val="28"/>
              <w:szCs w:val="28"/>
            </w:rPr>
            <w:t>айоне города Брянска» на 1225 мест;</w:t>
          </w:r>
        </w:p>
        <w:p w:rsidR="008E239A" w:rsidRDefault="00D61E62">
          <w:pPr>
            <w:pStyle w:val="aff5"/>
            <w:ind w:firstLine="709"/>
            <w:jc w:val="both"/>
          </w:pPr>
          <w:r>
            <w:rPr>
              <w:b w:val="0"/>
              <w:bCs w:val="0"/>
              <w:color w:val="000000"/>
              <w:sz w:val="28"/>
              <w:szCs w:val="28"/>
            </w:rPr>
            <w:t xml:space="preserve">«Школа в районе бывшего аэропорта города Брянска» на 1225 мест. </w:t>
          </w:r>
        </w:p>
        <w:p w:rsidR="008E239A" w:rsidRDefault="00D61E62">
          <w:pPr>
            <w:pStyle w:val="afe"/>
            <w:spacing w:before="0" w:after="0"/>
            <w:ind w:firstLine="709"/>
            <w:jc w:val="both"/>
          </w:pPr>
          <w:r>
            <w:rPr>
              <w:color w:val="000000"/>
            </w:rPr>
            <w:t>Срок сдачи объектов – декабрь</w:t>
          </w:r>
          <w:r>
            <w:rPr>
              <w:color w:val="000000"/>
            </w:rPr>
            <w:t xml:space="preserve"> 2024 года.</w:t>
          </w:r>
        </w:p>
        <w:p w:rsidR="008E239A" w:rsidRDefault="00D61E62">
          <w:pPr>
            <w:pStyle w:val="aff5"/>
            <w:suppressAutoHyphens/>
            <w:ind w:firstLine="709"/>
            <w:jc w:val="both"/>
          </w:pPr>
          <w:r>
            <w:rPr>
              <w:b w:val="0"/>
              <w:bCs w:val="0"/>
              <w:color w:val="000000"/>
              <w:sz w:val="28"/>
              <w:szCs w:val="28"/>
            </w:rPr>
            <w:t xml:space="preserve">В рамках реализации </w:t>
          </w:r>
          <w:r>
            <w:rPr>
              <w:b w:val="0"/>
              <w:bCs w:val="0"/>
              <w:color w:val="000000"/>
              <w:sz w:val="28"/>
              <w:szCs w:val="28"/>
              <w:lang w:eastAsia="ja-JP"/>
            </w:rPr>
            <w:t>регионального</w:t>
          </w:r>
          <w:r>
            <w:rPr>
              <w:b w:val="0"/>
              <w:bCs w:val="0"/>
              <w:color w:val="000000"/>
              <w:sz w:val="28"/>
              <w:szCs w:val="28"/>
            </w:rPr>
            <w:t xml:space="preserve"> проекта «Современная школа (</w:t>
          </w:r>
          <w:r>
            <w:rPr>
              <w:b w:val="0"/>
              <w:bCs w:val="0"/>
              <w:color w:val="000000"/>
              <w:sz w:val="28"/>
              <w:szCs w:val="28"/>
            </w:rPr>
            <w:t>Брянская область)</w:t>
          </w:r>
          <w:r>
            <w:rPr>
              <w:b w:val="0"/>
              <w:bCs w:val="0"/>
              <w:color w:val="000000"/>
              <w:sz w:val="28"/>
              <w:szCs w:val="28"/>
            </w:rPr>
            <w:t>» в 2023 году открыто 66 центров образования естественно-научной и технологической напра</w:t>
          </w:r>
          <w:r>
            <w:rPr>
              <w:b w:val="0"/>
              <w:bCs w:val="0"/>
              <w:color w:val="000000"/>
              <w:sz w:val="28"/>
              <w:szCs w:val="28"/>
            </w:rPr>
            <w:t xml:space="preserve">вленности «Точка роста». 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В рамках </w:t>
          </w:r>
          <w:r>
            <w:t>реализации мероприятий</w:t>
          </w:r>
          <w:r>
            <w:t xml:space="preserve"> регионального проек</w:t>
          </w:r>
          <w:r>
            <w:t>та «Успех каждого ребенка (Брянская область)» в</w:t>
          </w:r>
          <w:r>
            <w:rPr>
              <w:i/>
              <w:iCs/>
            </w:rPr>
            <w:t xml:space="preserve"> </w:t>
          </w:r>
          <w:r>
            <w:rPr>
              <w:color w:val="000000"/>
            </w:rPr>
            <w:t xml:space="preserve">2023 году выполнен капитальный ремонт </w:t>
          </w:r>
          <w:r>
            <w:rPr>
              <w:rFonts w:eastAsia="MS Mincho;ＭＳ 明朝"/>
              <w:color w:val="000000"/>
              <w:lang w:eastAsia="ja-JP"/>
            </w:rPr>
            <w:t>шести</w:t>
          </w:r>
          <w:r>
            <w:rPr>
              <w:color w:val="000000"/>
            </w:rPr>
            <w:t xml:space="preserve"> спортивных залов в рамках мероприятий по созданию в общеобразовательных организациях, расположенных в сельской местности и малых городах, условий для занятия физиче</w:t>
          </w:r>
          <w:r>
            <w:rPr>
              <w:color w:val="000000"/>
            </w:rPr>
            <w:t xml:space="preserve">ской культурой и спортом. </w:t>
          </w:r>
          <w:r>
            <w:rPr>
              <w:rFonts w:eastAsia="MS Mincho;ＭＳ 明朝"/>
              <w:color w:val="000000"/>
              <w:lang w:eastAsia="ja-JP"/>
            </w:rPr>
            <w:t>С</w:t>
          </w:r>
          <w:r>
            <w:rPr>
              <w:color w:val="000000"/>
            </w:rPr>
            <w:t xml:space="preserve"> 2014 года по 2023 годы включительно капитально отремонтированы 104 спортивных зала в сельских школах.</w:t>
          </w:r>
        </w:p>
        <w:p w:rsidR="008E239A" w:rsidRDefault="00D61E62">
          <w:pPr>
            <w:pStyle w:val="aff5"/>
            <w:ind w:firstLine="709"/>
            <w:jc w:val="both"/>
          </w:pPr>
          <w:r>
            <w:rPr>
              <w:b w:val="0"/>
              <w:bCs w:val="0"/>
              <w:color w:val="000000"/>
              <w:sz w:val="28"/>
              <w:szCs w:val="28"/>
            </w:rPr>
            <w:t xml:space="preserve">В 2023 году в рамках </w:t>
          </w:r>
          <w:r>
            <w:rPr>
              <w:b w:val="0"/>
              <w:bCs w:val="0"/>
              <w:color w:val="000000"/>
              <w:sz w:val="28"/>
              <w:szCs w:val="28"/>
              <w:lang w:eastAsia="ja-JP"/>
            </w:rPr>
            <w:t>регионального</w:t>
          </w:r>
          <w:r>
            <w:rPr>
              <w:b w:val="0"/>
              <w:bCs w:val="0"/>
              <w:color w:val="000000"/>
              <w:sz w:val="28"/>
              <w:szCs w:val="28"/>
            </w:rPr>
            <w:t xml:space="preserve"> проекта «Цифровая образовательная среда (Брянская область)» 41</w:t>
          </w:r>
          <w:r>
            <w:rPr>
              <w:b w:val="0"/>
              <w:bCs w:val="0"/>
              <w:color w:val="000000"/>
              <w:sz w:val="28"/>
              <w:szCs w:val="28"/>
            </w:rPr>
            <w:t xml:space="preserve"> образовательная организация получила оборудование и компьютерную технику.</w:t>
          </w:r>
        </w:p>
        <w:p w:rsidR="008E239A" w:rsidRDefault="00D61E62">
          <w:pPr>
            <w:pStyle w:val="aff5"/>
            <w:ind w:firstLine="709"/>
            <w:jc w:val="both"/>
          </w:pPr>
          <w:r>
            <w:rPr>
              <w:b w:val="0"/>
              <w:bCs w:val="0"/>
              <w:color w:val="000000"/>
              <w:sz w:val="28"/>
              <w:szCs w:val="28"/>
            </w:rPr>
            <w:t xml:space="preserve">В рамках данного проекта создан центр цифрового образования детей «Айти-куб» в с. Глинищево Брянского района. </w:t>
          </w:r>
        </w:p>
        <w:p w:rsidR="008E239A" w:rsidRDefault="00D61E62">
          <w:pPr>
            <w:pStyle w:val="aff5"/>
            <w:ind w:firstLine="709"/>
            <w:jc w:val="both"/>
          </w:pPr>
          <w:r>
            <w:rPr>
              <w:b w:val="0"/>
              <w:bCs w:val="0"/>
              <w:color w:val="000000"/>
              <w:sz w:val="28"/>
              <w:szCs w:val="28"/>
            </w:rPr>
            <w:t>В 2023 году на базе Брянского городского лицея №1 открылся школьный те</w:t>
          </w:r>
          <w:r>
            <w:rPr>
              <w:b w:val="0"/>
              <w:bCs w:val="0"/>
              <w:color w:val="000000"/>
              <w:sz w:val="28"/>
              <w:szCs w:val="28"/>
            </w:rPr>
            <w:t>хнопарк «Кванториум», в котором реализуются программы по технической и естественно-научной направленностям, а также программы внеурочной деятельн</w:t>
          </w:r>
          <w:r>
            <w:rPr>
              <w:b w:val="0"/>
              <w:bCs w:val="0"/>
              <w:color w:val="000000"/>
              <w:sz w:val="28"/>
              <w:szCs w:val="28"/>
            </w:rPr>
            <w:t>о</w:t>
          </w:r>
          <w:r>
            <w:rPr>
              <w:b w:val="0"/>
              <w:bCs w:val="0"/>
              <w:color w:val="000000"/>
              <w:sz w:val="28"/>
              <w:szCs w:val="28"/>
            </w:rPr>
            <w:t>сти.</w:t>
          </w:r>
        </w:p>
        <w:p w:rsidR="008E239A" w:rsidRDefault="00D61E62">
          <w:pPr>
            <w:pStyle w:val="aff5"/>
            <w:tabs>
              <w:tab w:val="left" w:pos="708"/>
              <w:tab w:val="center" w:pos="4153"/>
              <w:tab w:val="right" w:pos="8931"/>
            </w:tabs>
            <w:suppressAutoHyphens/>
            <w:ind w:firstLine="709"/>
            <w:jc w:val="both"/>
          </w:pPr>
          <w:r>
            <w:rPr>
              <w:b w:val="0"/>
              <w:bCs w:val="0"/>
              <w:color w:val="000000"/>
              <w:sz w:val="28"/>
              <w:szCs w:val="28"/>
            </w:rPr>
            <w:t>В рамках реализации регионального проекта «Патриотическое воспитание» в 344 школах введены ставки советни</w:t>
          </w:r>
          <w:r>
            <w:rPr>
              <w:b w:val="0"/>
              <w:bCs w:val="0"/>
              <w:color w:val="000000"/>
              <w:sz w:val="28"/>
              <w:szCs w:val="28"/>
            </w:rPr>
            <w:t xml:space="preserve">ков директора по воспитанию и взаимодействию с детскими общественными объединениями, </w:t>
          </w:r>
          <w:r>
            <w:rPr>
              <w:b w:val="0"/>
              <w:bCs w:val="0"/>
              <w:color w:val="000000"/>
              <w:sz w:val="28"/>
              <w:szCs w:val="28"/>
            </w:rPr>
            <w:t>465</w:t>
          </w:r>
          <w:r>
            <w:rPr>
              <w:b w:val="0"/>
              <w:bCs w:val="0"/>
              <w:color w:val="000000"/>
              <w:sz w:val="28"/>
              <w:szCs w:val="28"/>
            </w:rPr>
            <w:t xml:space="preserve"> человек трудоустроены после конкурсного отбора и специального обучения. </w:t>
          </w:r>
        </w:p>
        <w:p w:rsidR="008E239A" w:rsidRDefault="00D61E62">
          <w:pPr>
            <w:pStyle w:val="aff5"/>
            <w:suppressAutoHyphens/>
            <w:ind w:firstLine="709"/>
            <w:jc w:val="both"/>
          </w:pPr>
          <w:r>
            <w:rPr>
              <w:b w:val="0"/>
              <w:bCs w:val="0"/>
              <w:color w:val="000000"/>
              <w:sz w:val="28"/>
              <w:szCs w:val="28"/>
            </w:rPr>
            <w:t>Федеральная программа капитального ремонта школ «Модернизация школьных систем образования» в р</w:t>
          </w:r>
          <w:r>
            <w:rPr>
              <w:b w:val="0"/>
              <w:bCs w:val="0"/>
              <w:color w:val="000000"/>
              <w:sz w:val="28"/>
              <w:szCs w:val="28"/>
            </w:rPr>
            <w:t xml:space="preserve">амках государственной программы «Развитие образования» реализуется с 2022 года. С 2022 года капитально отремонтированы </w:t>
          </w:r>
          <w:r>
            <w:rPr>
              <w:b w:val="0"/>
              <w:bCs w:val="0"/>
              <w:color w:val="000000"/>
              <w:sz w:val="28"/>
              <w:szCs w:val="28"/>
            </w:rPr>
            <w:lastRenderedPageBreak/>
            <w:t xml:space="preserve">60 зданий </w:t>
          </w:r>
          <w:r>
            <w:rPr>
              <w:b w:val="0"/>
              <w:bCs w:val="0"/>
              <w:color w:val="000000"/>
              <w:sz w:val="28"/>
              <w:szCs w:val="28"/>
              <w:lang w:eastAsia="ja-JP"/>
            </w:rPr>
            <w:t>общеобразовательных организаций</w:t>
          </w:r>
          <w:r>
            <w:rPr>
              <w:b w:val="0"/>
              <w:bCs w:val="0"/>
              <w:color w:val="000000"/>
              <w:sz w:val="28"/>
              <w:szCs w:val="28"/>
            </w:rPr>
            <w:t xml:space="preserve">. В 2023 году выполнен капитальный ремонт 32 зданий общеобразовательных организаций. </w:t>
          </w:r>
        </w:p>
        <w:p w:rsidR="008E239A" w:rsidRDefault="00D61E62">
          <w:pPr>
            <w:tabs>
              <w:tab w:val="left" w:pos="900"/>
            </w:tabs>
            <w:suppressAutoHyphens/>
            <w:ind w:firstLine="709"/>
            <w:jc w:val="both"/>
          </w:pPr>
          <w:r>
            <w:rPr>
              <w:color w:val="000000"/>
            </w:rPr>
            <w:t xml:space="preserve">В регионе </w:t>
          </w:r>
          <w:r>
            <w:rPr>
              <w:rFonts w:eastAsia="Calibri"/>
              <w:color w:val="000000"/>
              <w:lang w:eastAsia="en-US"/>
            </w:rPr>
            <w:t xml:space="preserve">планомерно </w:t>
          </w:r>
          <w:r>
            <w:rPr>
              <w:rFonts w:eastAsia="Calibri"/>
              <w:color w:val="000000"/>
              <w:lang w:eastAsia="en-US"/>
            </w:rPr>
            <w:t>проводится</w:t>
          </w:r>
          <w:r>
            <w:rPr>
              <w:rFonts w:eastAsia="Calibri"/>
              <w:color w:val="000000"/>
              <w:lang w:eastAsia="en-US"/>
            </w:rPr>
            <w:t xml:space="preserve"> </w:t>
          </w:r>
          <w:r>
            <w:rPr>
              <w:color w:val="000000"/>
            </w:rPr>
            <w:t xml:space="preserve">работа по обновлению парка школьных автобусов. В рамках реализации мероприятия по поставке школьных автобусов российского производства, приобретаемых Минпромторгом России за счет федерального бюджета, регионом в 2023 году получено 49 школьных автобусов. </w:t>
          </w:r>
        </w:p>
        <w:p w:rsidR="008E239A" w:rsidRDefault="008E239A">
          <w:pPr>
            <w:tabs>
              <w:tab w:val="left" w:pos="708"/>
              <w:tab w:val="center" w:pos="4153"/>
              <w:tab w:val="right" w:pos="8931"/>
            </w:tabs>
            <w:suppressAutoHyphens/>
            <w:ind w:firstLine="709"/>
            <w:jc w:val="both"/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b/>
              <w:bCs/>
              <w:iCs/>
            </w:rPr>
            <w:t>13. Доля выпускников муниципальных общеобразовательных учреждений, не получивших аттестат о среднем (полном) образовании, в общей численности выпускников муниципальных общеобразовательных учреждений (процентов)</w:t>
          </w:r>
        </w:p>
        <w:p w:rsidR="008E239A" w:rsidRDefault="00D61E62">
          <w:pPr>
            <w:suppressAutoHyphens/>
            <w:ind w:firstLine="700"/>
            <w:jc w:val="both"/>
          </w:pPr>
          <w:r>
            <w:rPr>
              <w:rFonts w:eastAsia="Calibri"/>
              <w:lang w:eastAsia="en-US"/>
            </w:rPr>
            <w:t>В 2023 году доля выпускников муниципальных об</w:t>
          </w:r>
          <w:r>
            <w:rPr>
              <w:rFonts w:eastAsia="Calibri"/>
              <w:lang w:eastAsia="en-US"/>
            </w:rPr>
            <w:t xml:space="preserve">щеобразовательных учреждений, не получивших аттестат о среднем общем образовании, составила </w:t>
          </w:r>
          <w:r>
            <w:rPr>
              <w:rFonts w:eastAsia="Calibri"/>
              <w:color w:val="000000"/>
              <w:lang w:eastAsia="en-US"/>
            </w:rPr>
            <w:t>0,52</w:t>
          </w:r>
          <w:r>
            <w:rPr>
              <w:rFonts w:eastAsia="Calibri"/>
              <w:lang w:eastAsia="en-US"/>
            </w:rPr>
            <w:t xml:space="preserve">%, что </w:t>
          </w:r>
          <w:r>
            <w:rPr>
              <w:rFonts w:eastAsia="Calibri"/>
              <w:color w:val="000000"/>
              <w:lang w:eastAsia="en-US"/>
            </w:rPr>
            <w:t>ниже</w:t>
          </w:r>
          <w:r>
            <w:rPr>
              <w:rFonts w:eastAsia="Calibri"/>
              <w:lang w:eastAsia="en-US"/>
            </w:rPr>
            <w:t xml:space="preserve"> показателя за 2022 год на </w:t>
          </w:r>
          <w:r>
            <w:rPr>
              <w:rFonts w:eastAsia="Calibri"/>
              <w:color w:val="000000"/>
              <w:lang w:eastAsia="en-US"/>
            </w:rPr>
            <w:t>0,13 п.п</w:t>
          </w:r>
          <w:r>
            <w:rPr>
              <w:rFonts w:eastAsia="Calibri"/>
              <w:lang w:eastAsia="en-US"/>
            </w:rPr>
            <w:t>.</w:t>
          </w:r>
        </w:p>
        <w:p w:rsidR="008E239A" w:rsidRDefault="00D61E62">
          <w:pPr>
            <w:suppressAutoHyphens/>
            <w:ind w:firstLine="709"/>
            <w:contextualSpacing/>
            <w:jc w:val="both"/>
          </w:pPr>
          <w:r>
            <w:rPr>
              <w:rFonts w:eastAsia="Calibri"/>
              <w:lang w:eastAsia="en-US"/>
            </w:rPr>
            <w:t xml:space="preserve">В </w:t>
          </w:r>
          <w:r>
            <w:rPr>
              <w:rFonts w:eastAsia="Calibri"/>
              <w:color w:val="000000"/>
              <w:lang w:eastAsia="en-US"/>
            </w:rPr>
            <w:t>семи</w:t>
          </w:r>
          <w:r>
            <w:rPr>
              <w:rFonts w:eastAsia="Calibri"/>
              <w:lang w:eastAsia="en-US"/>
            </w:rPr>
            <w:t xml:space="preserve"> муниципальных районах и </w:t>
          </w:r>
          <w:r>
            <w:rPr>
              <w:rFonts w:eastAsia="Calibri"/>
              <w:color w:val="000000"/>
              <w:lang w:eastAsia="en-US"/>
            </w:rPr>
            <w:t xml:space="preserve">двух </w:t>
          </w:r>
          <w:r>
            <w:rPr>
              <w:rFonts w:eastAsia="Calibri"/>
              <w:lang w:eastAsia="en-US"/>
            </w:rPr>
            <w:t>городских округах определенное количество выпускников в 2023 году не получил</w:t>
          </w:r>
          <w:r>
            <w:rPr>
              <w:rFonts w:eastAsia="Calibri"/>
              <w:lang w:eastAsia="en-US"/>
            </w:rPr>
            <w:t xml:space="preserve">и аттестаты о среднем (полном) образовании: в </w:t>
          </w:r>
          <w:r>
            <w:rPr>
              <w:rFonts w:eastAsia="Calibri"/>
              <w:color w:val="000000"/>
              <w:lang w:eastAsia="en-US"/>
            </w:rPr>
            <w:t>Гордеевском</w:t>
          </w:r>
          <w:r>
            <w:rPr>
              <w:rFonts w:eastAsia="Calibri"/>
              <w:lang w:eastAsia="en-US"/>
            </w:rPr>
            <w:t xml:space="preserve"> (</w:t>
          </w:r>
          <w:r>
            <w:rPr>
              <w:rFonts w:eastAsia="Calibri"/>
              <w:color w:val="000000"/>
              <w:lang w:eastAsia="en-US"/>
            </w:rPr>
            <w:t>2,56</w:t>
          </w:r>
          <w:r>
            <w:rPr>
              <w:rFonts w:eastAsia="Calibri"/>
              <w:lang w:eastAsia="en-US"/>
            </w:rPr>
            <w:t xml:space="preserve">% от общей численности выпускников муниципальных общеобразовательных учреждений), </w:t>
          </w:r>
          <w:r>
            <w:rPr>
              <w:rFonts w:eastAsia="Calibri"/>
              <w:color w:val="000000"/>
              <w:lang w:eastAsia="en-US"/>
            </w:rPr>
            <w:t>Дубровском</w:t>
          </w:r>
          <w:r>
            <w:rPr>
              <w:rFonts w:eastAsia="Calibri"/>
              <w:lang w:eastAsia="en-US"/>
            </w:rPr>
            <w:t xml:space="preserve"> (</w:t>
          </w:r>
          <w:r>
            <w:rPr>
              <w:rFonts w:eastAsia="Calibri"/>
              <w:color w:val="000000"/>
              <w:lang w:eastAsia="en-US"/>
            </w:rPr>
            <w:t>1,4</w:t>
          </w:r>
          <w:r>
            <w:rPr>
              <w:rFonts w:eastAsia="Calibri"/>
              <w:lang w:eastAsia="en-US"/>
            </w:rPr>
            <w:t xml:space="preserve">%), </w:t>
          </w:r>
          <w:r>
            <w:rPr>
              <w:rFonts w:eastAsia="Calibri"/>
              <w:color w:val="000000"/>
              <w:lang w:eastAsia="en-US"/>
            </w:rPr>
            <w:t>Дятьковском</w:t>
          </w:r>
          <w:r>
            <w:rPr>
              <w:rFonts w:eastAsia="Calibri"/>
              <w:lang w:eastAsia="en-US"/>
            </w:rPr>
            <w:t xml:space="preserve"> (</w:t>
          </w:r>
          <w:r>
            <w:rPr>
              <w:rFonts w:eastAsia="Calibri"/>
              <w:color w:val="000000"/>
              <w:lang w:eastAsia="en-US"/>
            </w:rPr>
            <w:t>0</w:t>
          </w:r>
          <w:r>
            <w:rPr>
              <w:rFonts w:eastAsia="Calibri"/>
              <w:lang w:eastAsia="en-US"/>
            </w:rPr>
            <w:t xml:space="preserve">,6%), </w:t>
          </w:r>
          <w:r>
            <w:rPr>
              <w:rFonts w:eastAsia="Calibri"/>
              <w:color w:val="000000"/>
              <w:lang w:eastAsia="en-US"/>
            </w:rPr>
            <w:t>Карачевском</w:t>
          </w:r>
          <w:r>
            <w:rPr>
              <w:rFonts w:eastAsia="Calibri"/>
              <w:lang w:eastAsia="en-US"/>
            </w:rPr>
            <w:t xml:space="preserve"> (</w:t>
          </w:r>
          <w:r>
            <w:rPr>
              <w:rFonts w:eastAsia="Calibri"/>
              <w:color w:val="000000"/>
              <w:lang w:eastAsia="en-US"/>
            </w:rPr>
            <w:t>0,8</w:t>
          </w:r>
          <w:r>
            <w:rPr>
              <w:rFonts w:eastAsia="Calibri"/>
              <w:lang w:eastAsia="en-US"/>
            </w:rPr>
            <w:t xml:space="preserve">%), </w:t>
          </w:r>
          <w:r>
            <w:rPr>
              <w:rFonts w:eastAsia="Calibri"/>
              <w:color w:val="000000"/>
              <w:lang w:eastAsia="en-US"/>
            </w:rPr>
            <w:t>Мглинском</w:t>
          </w:r>
          <w:r>
            <w:rPr>
              <w:rFonts w:eastAsia="Calibri"/>
              <w:lang w:eastAsia="en-US"/>
            </w:rPr>
            <w:t xml:space="preserve"> (</w:t>
          </w:r>
          <w:r>
            <w:rPr>
              <w:rFonts w:eastAsia="Calibri"/>
              <w:color w:val="000000"/>
              <w:lang w:eastAsia="en-US"/>
            </w:rPr>
            <w:t>2,7</w:t>
          </w:r>
          <w:r>
            <w:rPr>
              <w:rFonts w:eastAsia="Calibri"/>
              <w:lang w:eastAsia="en-US"/>
            </w:rPr>
            <w:t xml:space="preserve">%), </w:t>
          </w:r>
          <w:r>
            <w:rPr>
              <w:rFonts w:eastAsia="Calibri"/>
              <w:color w:val="000000"/>
              <w:lang w:eastAsia="en-US"/>
            </w:rPr>
            <w:t>Погарском</w:t>
          </w:r>
          <w:r>
            <w:rPr>
              <w:rFonts w:eastAsia="Calibri"/>
              <w:lang w:eastAsia="en-US"/>
            </w:rPr>
            <w:t xml:space="preserve"> (</w:t>
          </w:r>
          <w:r>
            <w:rPr>
              <w:rFonts w:eastAsia="Calibri"/>
              <w:color w:val="000000"/>
              <w:lang w:eastAsia="en-US"/>
            </w:rPr>
            <w:t>2,0</w:t>
          </w:r>
          <w:r>
            <w:rPr>
              <w:rFonts w:eastAsia="Calibri"/>
              <w:lang w:eastAsia="en-US"/>
            </w:rPr>
            <w:t xml:space="preserve">%), </w:t>
          </w:r>
          <w:r>
            <w:rPr>
              <w:rFonts w:eastAsia="Calibri"/>
              <w:color w:val="000000"/>
              <w:lang w:eastAsia="en-US"/>
            </w:rPr>
            <w:t>Суземском</w:t>
          </w:r>
          <w:r>
            <w:rPr>
              <w:rFonts w:eastAsia="Calibri"/>
              <w:lang w:eastAsia="en-US"/>
            </w:rPr>
            <w:t xml:space="preserve"> (</w:t>
          </w:r>
          <w:r>
            <w:rPr>
              <w:rFonts w:eastAsia="Calibri"/>
              <w:color w:val="000000"/>
              <w:lang w:eastAsia="en-US"/>
            </w:rPr>
            <w:t>5,0</w:t>
          </w:r>
          <w:r>
            <w:rPr>
              <w:rFonts w:eastAsia="Calibri"/>
              <w:lang w:eastAsia="en-US"/>
            </w:rPr>
            <w:t xml:space="preserve">%); в городах </w:t>
          </w:r>
          <w:r>
            <w:rPr>
              <w:rFonts w:eastAsia="Calibri"/>
              <w:color w:val="000000"/>
              <w:lang w:eastAsia="en-US"/>
            </w:rPr>
            <w:t>Брянск</w:t>
          </w:r>
          <w:r>
            <w:rPr>
              <w:rFonts w:eastAsia="Calibri"/>
              <w:lang w:eastAsia="en-US"/>
            </w:rPr>
            <w:t xml:space="preserve"> (</w:t>
          </w:r>
          <w:r>
            <w:rPr>
              <w:rFonts w:eastAsia="Calibri"/>
              <w:color w:val="000000"/>
              <w:lang w:eastAsia="en-US"/>
            </w:rPr>
            <w:t>0,14</w:t>
          </w:r>
          <w:r>
            <w:rPr>
              <w:rFonts w:eastAsia="Calibri"/>
              <w:lang w:eastAsia="en-US"/>
            </w:rPr>
            <w:t xml:space="preserve">%) и </w:t>
          </w:r>
          <w:r>
            <w:rPr>
              <w:rFonts w:eastAsia="Calibri"/>
              <w:color w:val="000000"/>
              <w:lang w:eastAsia="en-US"/>
            </w:rPr>
            <w:t>Клинцы</w:t>
          </w:r>
          <w:r>
            <w:rPr>
              <w:rFonts w:eastAsia="Calibri"/>
              <w:lang w:eastAsia="en-US"/>
            </w:rPr>
            <w:t xml:space="preserve"> (</w:t>
          </w:r>
          <w:r>
            <w:rPr>
              <w:rFonts w:eastAsia="Calibri"/>
              <w:color w:val="000000"/>
              <w:lang w:eastAsia="en-US"/>
            </w:rPr>
            <w:t>0,9</w:t>
          </w:r>
          <w:r>
            <w:rPr>
              <w:rFonts w:eastAsia="Calibri"/>
              <w:lang w:eastAsia="en-US"/>
            </w:rPr>
            <w:t>%).</w:t>
          </w:r>
        </w:p>
        <w:p w:rsidR="008E239A" w:rsidRDefault="008E239A">
          <w:pPr>
            <w:suppressAutoHyphens/>
            <w:ind w:firstLine="709"/>
            <w:contextualSpacing/>
            <w:jc w:val="both"/>
          </w:pPr>
        </w:p>
        <w:p w:rsidR="008E239A" w:rsidRDefault="00D61E62">
          <w:pPr>
            <w:pStyle w:val="210"/>
            <w:spacing w:after="0" w:line="240" w:lineRule="auto"/>
            <w:ind w:left="0" w:firstLine="709"/>
            <w:jc w:val="both"/>
          </w:pPr>
          <w:r>
            <w:rPr>
              <w:b/>
            </w:rPr>
            <w:t>14. Доля муниципальных общеобразовательных учреждений, соответствующих современным требованиям обучения, в общем количестве муниципальных общеобразовательных учреждений (процентов)</w:t>
          </w:r>
        </w:p>
        <w:p w:rsidR="008E239A" w:rsidRDefault="00D61E62">
          <w:pPr>
            <w:tabs>
              <w:tab w:val="left" w:pos="708"/>
              <w:tab w:val="center" w:pos="4153"/>
              <w:tab w:val="right" w:pos="8306"/>
            </w:tabs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>Данный показатель является интегральным, включающим несколько направлений организации образовательного процесса: обеспечение современных условий комплексной безопасности учреждений, оснащенность современным учебным и учебно-лабораторным оборудованием и ком</w:t>
          </w:r>
          <w:r>
            <w:rPr>
              <w:rFonts w:eastAsia="Calibri"/>
              <w:lang w:eastAsia="en-US"/>
            </w:rPr>
            <w:t xml:space="preserve">пьютерной техникой, создание здоровьесберегающей среды (питание, условия для занятий физической культурой и спортом, медицинское обслуживание), условий для творческого развития школьников. </w:t>
          </w:r>
        </w:p>
        <w:p w:rsidR="008E239A" w:rsidRDefault="00D61E62">
          <w:pPr>
            <w:tabs>
              <w:tab w:val="left" w:pos="708"/>
              <w:tab w:val="center" w:pos="4153"/>
              <w:tab w:val="right" w:pos="8306"/>
            </w:tabs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>В среднем по области в 2023 году доля муниципальных общеобразовате</w:t>
          </w:r>
          <w:r>
            <w:rPr>
              <w:rFonts w:eastAsia="Calibri"/>
              <w:lang w:eastAsia="en-US"/>
            </w:rPr>
            <w:t xml:space="preserve">льных учреждений, соответствующих современным требованиям обучения, в общем количестве муниципальных общеобразовательных учреждений </w:t>
          </w:r>
          <w:r>
            <w:rPr>
              <w:rFonts w:eastAsia="Calibri"/>
              <w:color w:val="000000"/>
              <w:lang w:eastAsia="en-US"/>
            </w:rPr>
            <w:t>уменьшилась</w:t>
          </w:r>
          <w:r>
            <w:rPr>
              <w:rFonts w:eastAsia="Calibri"/>
              <w:lang w:eastAsia="en-US"/>
            </w:rPr>
            <w:t xml:space="preserve"> на </w:t>
          </w:r>
          <w:r>
            <w:rPr>
              <w:rFonts w:eastAsia="Calibri"/>
              <w:color w:val="000000"/>
              <w:lang w:eastAsia="en-US"/>
            </w:rPr>
            <w:t>0,45п.п.</w:t>
          </w:r>
          <w:r>
            <w:rPr>
              <w:rFonts w:eastAsia="Calibri"/>
              <w:lang w:eastAsia="en-US"/>
            </w:rPr>
            <w:t xml:space="preserve"> и составила </w:t>
          </w:r>
          <w:r>
            <w:rPr>
              <w:rFonts w:eastAsia="Calibri"/>
              <w:color w:val="000000"/>
              <w:lang w:eastAsia="en-US"/>
            </w:rPr>
            <w:t>82,32%</w:t>
          </w:r>
          <w:r>
            <w:rPr>
              <w:rFonts w:eastAsia="Calibri"/>
              <w:lang w:eastAsia="en-US"/>
            </w:rPr>
            <w:t>.</w:t>
          </w:r>
        </w:p>
        <w:p w:rsidR="008E239A" w:rsidRDefault="00D61E62">
          <w:pPr>
            <w:tabs>
              <w:tab w:val="left" w:pos="708"/>
              <w:tab w:val="center" w:pos="4153"/>
              <w:tab w:val="right" w:pos="8306"/>
            </w:tabs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 xml:space="preserve">В </w:t>
          </w:r>
          <w:r>
            <w:rPr>
              <w:rFonts w:eastAsia="Calibri"/>
              <w:color w:val="000000"/>
              <w:lang w:eastAsia="en-US"/>
            </w:rPr>
            <w:t>трех</w:t>
          </w:r>
          <w:r>
            <w:rPr>
              <w:rFonts w:eastAsia="Calibri"/>
              <w:lang w:eastAsia="en-US"/>
            </w:rPr>
            <w:t xml:space="preserve"> муниципальных </w:t>
          </w:r>
          <w:r>
            <w:rPr>
              <w:rFonts w:eastAsia="Calibri"/>
              <w:color w:val="000000"/>
              <w:lang w:eastAsia="en-US"/>
            </w:rPr>
            <w:t>образованиях</w:t>
          </w:r>
          <w:r>
            <w:rPr>
              <w:rFonts w:eastAsia="Calibri"/>
              <w:lang w:eastAsia="en-US"/>
            </w:rPr>
            <w:t xml:space="preserve"> значение данного показателя составило 100%: в </w:t>
          </w:r>
          <w:r>
            <w:rPr>
              <w:rFonts w:eastAsia="Calibri"/>
              <w:lang w:eastAsia="en-US"/>
            </w:rPr>
            <w:t xml:space="preserve">городском округе г. Брянск; в Карачевском муниципальном районе, Стародубском муниципальном округе. </w:t>
          </w:r>
        </w:p>
        <w:p w:rsidR="008E239A" w:rsidRDefault="00D61E62">
          <w:pPr>
            <w:tabs>
              <w:tab w:val="left" w:pos="708"/>
              <w:tab w:val="center" w:pos="4153"/>
              <w:tab w:val="right" w:pos="8306"/>
            </w:tabs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>Наименьшие значения в группе городских округов — в г. Фокино (66,7%), г.Сельцо (80,0%), в группе муниципальных районов — в Дубровском (25,0%), Клетнянском (</w:t>
          </w:r>
          <w:r>
            <w:rPr>
              <w:rFonts w:eastAsia="Calibri"/>
              <w:lang w:eastAsia="en-US"/>
            </w:rPr>
            <w:t>55,6%), Злынковском (62,5%).</w:t>
          </w:r>
        </w:p>
        <w:p w:rsidR="008E239A" w:rsidRDefault="00D61E62">
          <w:pPr>
            <w:tabs>
              <w:tab w:val="left" w:pos="708"/>
              <w:tab w:val="center" w:pos="4153"/>
              <w:tab w:val="right" w:pos="8306"/>
            </w:tabs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 xml:space="preserve">По сравнению с 2022 годом рост показателя отмечается в группе городских округов — в г. Новозыбкове (на 8,0 п.п.), г. Фокино (на 33,3 п.п.); в группе муниципальных районов — </w:t>
          </w:r>
          <w:r>
            <w:rPr>
              <w:rFonts w:eastAsia="Calibri"/>
              <w:color w:val="000000"/>
              <w:lang w:eastAsia="en-US"/>
            </w:rPr>
            <w:t xml:space="preserve">в Гордеевском </w:t>
          </w:r>
          <w:r>
            <w:rPr>
              <w:rFonts w:eastAsia="Calibri"/>
              <w:lang w:eastAsia="en-US"/>
            </w:rPr>
            <w:t>(</w:t>
          </w:r>
          <w:r>
            <w:rPr>
              <w:rFonts w:eastAsia="Calibri"/>
              <w:color w:val="000000"/>
              <w:lang w:eastAsia="en-US"/>
            </w:rPr>
            <w:t>на 11,2 п.п.</w:t>
          </w:r>
          <w:r>
            <w:rPr>
              <w:rFonts w:eastAsia="Calibri"/>
              <w:lang w:eastAsia="en-US"/>
            </w:rPr>
            <w:t xml:space="preserve">), </w:t>
          </w:r>
          <w:r>
            <w:rPr>
              <w:rFonts w:eastAsia="Calibri"/>
              <w:color w:val="000000"/>
              <w:lang w:eastAsia="en-US"/>
            </w:rPr>
            <w:t>Дятьковском</w:t>
          </w:r>
          <w:r>
            <w:rPr>
              <w:rFonts w:eastAsia="Calibri"/>
              <w:lang w:eastAsia="en-US"/>
            </w:rPr>
            <w:t xml:space="preserve"> (на </w:t>
          </w:r>
          <w:r>
            <w:rPr>
              <w:rFonts w:eastAsia="Calibri"/>
              <w:color w:val="000000"/>
              <w:lang w:eastAsia="en-US"/>
            </w:rPr>
            <w:t>20,0</w:t>
          </w:r>
          <w:r>
            <w:rPr>
              <w:rFonts w:eastAsia="Calibri"/>
              <w:lang w:eastAsia="en-US"/>
            </w:rPr>
            <w:t xml:space="preserve"> </w:t>
          </w:r>
          <w:r>
            <w:rPr>
              <w:rFonts w:eastAsia="Calibri"/>
              <w:lang w:eastAsia="en-US"/>
            </w:rPr>
            <w:lastRenderedPageBreak/>
            <w:t>п.п</w:t>
          </w:r>
          <w:r>
            <w:rPr>
              <w:rFonts w:eastAsia="Calibri"/>
              <w:lang w:eastAsia="en-US"/>
            </w:rPr>
            <w:t xml:space="preserve">.), </w:t>
          </w:r>
          <w:r>
            <w:rPr>
              <w:rFonts w:eastAsia="Calibri"/>
              <w:color w:val="000000"/>
              <w:lang w:eastAsia="en-US"/>
            </w:rPr>
            <w:t>Жирятинском</w:t>
          </w:r>
          <w:r>
            <w:rPr>
              <w:rFonts w:eastAsia="Calibri"/>
              <w:lang w:eastAsia="en-US"/>
            </w:rPr>
            <w:t xml:space="preserve"> (на </w:t>
          </w:r>
          <w:r>
            <w:rPr>
              <w:rFonts w:eastAsia="Calibri"/>
              <w:color w:val="000000"/>
              <w:lang w:eastAsia="en-US"/>
            </w:rPr>
            <w:t>13,0</w:t>
          </w:r>
          <w:r>
            <w:rPr>
              <w:rFonts w:eastAsia="Calibri"/>
              <w:lang w:eastAsia="en-US"/>
            </w:rPr>
            <w:t xml:space="preserve"> п.п.), </w:t>
          </w:r>
          <w:r>
            <w:rPr>
              <w:rFonts w:eastAsia="Calibri"/>
              <w:color w:val="000000"/>
              <w:lang w:eastAsia="en-US"/>
            </w:rPr>
            <w:t>Навлинском</w:t>
          </w:r>
          <w:r>
            <w:rPr>
              <w:rFonts w:eastAsia="Calibri"/>
              <w:lang w:eastAsia="en-US"/>
            </w:rPr>
            <w:t xml:space="preserve"> (на </w:t>
          </w:r>
          <w:r>
            <w:rPr>
              <w:rFonts w:eastAsia="Calibri"/>
              <w:color w:val="000000"/>
              <w:lang w:eastAsia="en-US"/>
            </w:rPr>
            <w:t>6,7</w:t>
          </w:r>
          <w:r>
            <w:rPr>
              <w:rFonts w:eastAsia="Calibri"/>
              <w:lang w:eastAsia="en-US"/>
            </w:rPr>
            <w:t xml:space="preserve"> п. п.), Севском (на </w:t>
          </w:r>
          <w:r>
            <w:rPr>
              <w:rFonts w:eastAsia="Calibri"/>
              <w:color w:val="000000"/>
              <w:lang w:eastAsia="en-US"/>
            </w:rPr>
            <w:t>0,2</w:t>
          </w:r>
          <w:r>
            <w:rPr>
              <w:rFonts w:eastAsia="Calibri"/>
              <w:lang w:eastAsia="en-US"/>
            </w:rPr>
            <w:t xml:space="preserve"> </w:t>
          </w:r>
          <w:r>
            <w:rPr>
              <w:rFonts w:eastAsia="Calibri"/>
              <w:color w:val="000000"/>
              <w:lang w:eastAsia="en-US"/>
            </w:rPr>
            <w:t>п.п.</w:t>
          </w:r>
          <w:r>
            <w:rPr>
              <w:rFonts w:eastAsia="Calibri"/>
              <w:lang w:eastAsia="en-US"/>
            </w:rPr>
            <w:t xml:space="preserve">), Суземском (на 9,0 п.п.), </w:t>
          </w:r>
          <w:r>
            <w:rPr>
              <w:rFonts w:eastAsia="Calibri"/>
              <w:color w:val="000000"/>
              <w:lang w:eastAsia="en-US"/>
            </w:rPr>
            <w:t>Унечском</w:t>
          </w:r>
          <w:r>
            <w:rPr>
              <w:rFonts w:eastAsia="Calibri"/>
              <w:lang w:eastAsia="en-US"/>
            </w:rPr>
            <w:t xml:space="preserve"> (на </w:t>
          </w:r>
          <w:r>
            <w:rPr>
              <w:rFonts w:eastAsia="Calibri"/>
              <w:color w:val="000000"/>
              <w:lang w:eastAsia="en-US"/>
            </w:rPr>
            <w:t>16,0</w:t>
          </w:r>
          <w:r>
            <w:rPr>
              <w:rFonts w:eastAsia="Calibri"/>
              <w:lang w:eastAsia="en-US"/>
            </w:rPr>
            <w:t xml:space="preserve"> п.п.).</w:t>
          </w:r>
        </w:p>
        <w:p w:rsidR="008E239A" w:rsidRDefault="00D61E62">
          <w:pPr>
            <w:tabs>
              <w:tab w:val="left" w:pos="708"/>
              <w:tab w:val="center" w:pos="4153"/>
              <w:tab w:val="right" w:pos="8306"/>
            </w:tabs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 xml:space="preserve">В 11 муниципальных образованиях значение данного показателя осталось на уровне 2022 года: </w:t>
          </w:r>
          <w:r>
            <w:rPr>
              <w:rFonts w:eastAsia="Calibri"/>
              <w:color w:val="000000"/>
              <w:lang w:eastAsia="en-US"/>
            </w:rPr>
            <w:t>в</w:t>
          </w:r>
          <w:r>
            <w:rPr>
              <w:rFonts w:eastAsia="Calibri"/>
              <w:lang w:eastAsia="en-US"/>
            </w:rPr>
            <w:t xml:space="preserve"> городских округах — г. Брянск, г</w:t>
          </w:r>
          <w:r>
            <w:rPr>
              <w:rFonts w:eastAsia="Calibri"/>
              <w:lang w:eastAsia="en-US"/>
            </w:rPr>
            <w:t xml:space="preserve">. Клинцы, г. Сельцо; </w:t>
          </w:r>
          <w:r>
            <w:rPr>
              <w:rFonts w:eastAsia="Calibri"/>
              <w:color w:val="000000"/>
              <w:lang w:eastAsia="en-US"/>
            </w:rPr>
            <w:t>в</w:t>
          </w:r>
          <w:r>
            <w:rPr>
              <w:rFonts w:eastAsia="Calibri"/>
              <w:lang w:eastAsia="en-US"/>
            </w:rPr>
            <w:t xml:space="preserve"> муниципальных районах — в </w:t>
          </w:r>
          <w:r>
            <w:rPr>
              <w:rFonts w:eastAsia="Calibri"/>
              <w:color w:val="000000"/>
              <w:lang w:eastAsia="en-US"/>
            </w:rPr>
            <w:t xml:space="preserve">Карачевском, Комаричском, Красногорском, Мглинском, Рогнединском, Трубчевском, Жуковском муниципальном округе, Стародубском муниципальном округе. </w:t>
          </w:r>
        </w:p>
        <w:p w:rsidR="008E239A" w:rsidRDefault="008E239A">
          <w:pPr>
            <w:tabs>
              <w:tab w:val="left" w:pos="708"/>
              <w:tab w:val="center" w:pos="4153"/>
              <w:tab w:val="right" w:pos="8306"/>
            </w:tabs>
            <w:suppressAutoHyphens/>
            <w:ind w:firstLine="709"/>
            <w:jc w:val="both"/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b/>
            </w:rPr>
            <w:t>15. Доля муниципальных общеобразовательных учреждений, здан</w:t>
          </w:r>
          <w:r>
            <w:rPr>
              <w:b/>
            </w:rPr>
            <w:t>ия которых находятся в аварийном состоянии или требуют капитального ремонта, в общем количестве муниципальных общеобразовательных учреждений (процентов)</w:t>
          </w:r>
        </w:p>
        <w:p w:rsidR="008E239A" w:rsidRDefault="00D61E62">
          <w:pPr>
            <w:tabs>
              <w:tab w:val="left" w:pos="708"/>
              <w:tab w:val="center" w:pos="4153"/>
              <w:tab w:val="right" w:pos="8306"/>
            </w:tabs>
            <w:suppressAutoHyphens/>
            <w:ind w:firstLine="709"/>
            <w:jc w:val="both"/>
          </w:pPr>
          <w:r>
            <w:t xml:space="preserve">В 2023 году значение показателя в среднем по области </w:t>
          </w:r>
          <w:r>
            <w:rPr>
              <w:rFonts w:eastAsia="Calibri"/>
              <w:lang w:eastAsia="en-US"/>
            </w:rPr>
            <w:t xml:space="preserve">составило </w:t>
          </w:r>
          <w:r>
            <w:rPr>
              <w:rFonts w:eastAsia="Calibri"/>
              <w:color w:val="000000"/>
              <w:lang w:eastAsia="en-US"/>
            </w:rPr>
            <w:t>19,71%</w:t>
          </w:r>
          <w:r>
            <w:rPr>
              <w:rFonts w:eastAsia="Calibri"/>
              <w:lang w:eastAsia="en-US"/>
            </w:rPr>
            <w:t xml:space="preserve">, что </w:t>
          </w:r>
          <w:r>
            <w:rPr>
              <w:rFonts w:eastAsia="Calibri"/>
              <w:color w:val="000000"/>
              <w:lang w:eastAsia="en-US"/>
            </w:rPr>
            <w:t>меньше</w:t>
          </w:r>
          <w:r>
            <w:rPr>
              <w:rFonts w:eastAsia="Calibri"/>
              <w:lang w:eastAsia="en-US"/>
            </w:rPr>
            <w:t xml:space="preserve">, чем в 2022 году </w:t>
          </w:r>
          <w:r>
            <w:rPr>
              <w:rFonts w:eastAsia="Calibri"/>
              <w:color w:val="000000"/>
              <w:lang w:eastAsia="en-US"/>
            </w:rPr>
            <w:t xml:space="preserve">на </w:t>
          </w:r>
          <w:r>
            <w:rPr>
              <w:rFonts w:eastAsia="Calibri"/>
              <w:color w:val="000000"/>
              <w:lang w:eastAsia="en-US"/>
            </w:rPr>
            <w:t>0,14 п.п</w:t>
          </w:r>
          <w:r>
            <w:rPr>
              <w:rFonts w:eastAsia="Calibri"/>
              <w:lang w:eastAsia="en-US"/>
            </w:rPr>
            <w:t>.</w:t>
          </w:r>
        </w:p>
        <w:p w:rsidR="008E239A" w:rsidRDefault="00D61E62">
          <w:pPr>
            <w:pStyle w:val="aff5"/>
            <w:tabs>
              <w:tab w:val="left" w:pos="708"/>
              <w:tab w:val="center" w:pos="4153"/>
              <w:tab w:val="right" w:pos="8306"/>
            </w:tabs>
            <w:suppressAutoHyphens/>
            <w:ind w:firstLine="709"/>
            <w:jc w:val="both"/>
          </w:pPr>
          <w:r>
            <w:rPr>
              <w:rFonts w:eastAsia="Calibri"/>
              <w:b w:val="0"/>
              <w:bCs w:val="0"/>
              <w:color w:val="000000"/>
              <w:sz w:val="28"/>
              <w:szCs w:val="28"/>
              <w:lang w:eastAsia="en-US"/>
            </w:rPr>
            <w:t xml:space="preserve">Федеральная программа капитального ремонта школ «Модернизация школьных систем образования» в рамках государственной программы Российской Федерации «Развитие образования» реализуется с 2022 года. С 2022 года капитально отремонтированы 60 зданий </w:t>
          </w:r>
          <w:r>
            <w:rPr>
              <w:b w:val="0"/>
              <w:bCs w:val="0"/>
              <w:color w:val="000000"/>
              <w:sz w:val="28"/>
              <w:szCs w:val="28"/>
              <w:lang w:eastAsia="ja-JP"/>
            </w:rPr>
            <w:t>об</w:t>
          </w:r>
          <w:r>
            <w:rPr>
              <w:b w:val="0"/>
              <w:bCs w:val="0"/>
              <w:color w:val="000000"/>
              <w:sz w:val="28"/>
              <w:szCs w:val="28"/>
              <w:lang w:eastAsia="ja-JP"/>
            </w:rPr>
            <w:t>щеобразовательных организаций</w:t>
          </w:r>
          <w:r>
            <w:rPr>
              <w:rFonts w:eastAsia="Calibri"/>
              <w:b w:val="0"/>
              <w:bCs w:val="0"/>
              <w:color w:val="000000"/>
              <w:sz w:val="28"/>
              <w:szCs w:val="28"/>
              <w:lang w:eastAsia="en-US"/>
            </w:rPr>
            <w:t xml:space="preserve">. В 2023 году выполнен капитальный ремонт 32 зданий общеобразовательных организаций. </w:t>
          </w:r>
        </w:p>
        <w:p w:rsidR="008E239A" w:rsidRDefault="00D61E62">
          <w:pPr>
            <w:tabs>
              <w:tab w:val="left" w:pos="708"/>
              <w:tab w:val="center" w:pos="4153"/>
              <w:tab w:val="right" w:pos="8306"/>
            </w:tabs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>В 2023 году в связи с высокой степенью износа требовали капитального ремонта здания общеобразовательных школ Дубровского (</w:t>
          </w:r>
          <w:r>
            <w:rPr>
              <w:rFonts w:eastAsia="Calibri"/>
              <w:color w:val="000000"/>
              <w:lang w:eastAsia="en-US"/>
            </w:rPr>
            <w:t>75</w:t>
          </w:r>
          <w:r>
            <w:rPr>
              <w:rFonts w:eastAsia="Calibri"/>
              <w:lang w:eastAsia="en-US"/>
            </w:rPr>
            <w:t>,0%), Дятьковског</w:t>
          </w:r>
          <w:r>
            <w:rPr>
              <w:rFonts w:eastAsia="Calibri"/>
              <w:lang w:eastAsia="en-US"/>
            </w:rPr>
            <w:t>о (</w:t>
          </w:r>
          <w:r>
            <w:rPr>
              <w:rFonts w:eastAsia="Calibri"/>
              <w:color w:val="000000"/>
              <w:lang w:eastAsia="en-US"/>
            </w:rPr>
            <w:t>3</w:t>
          </w:r>
          <w:r>
            <w:rPr>
              <w:rFonts w:eastAsia="Calibri"/>
              <w:lang w:eastAsia="en-US"/>
            </w:rPr>
            <w:t xml:space="preserve">0,0%), </w:t>
          </w:r>
          <w:r>
            <w:rPr>
              <w:rFonts w:eastAsia="Calibri"/>
              <w:color w:val="000000"/>
              <w:lang w:eastAsia="en-US"/>
            </w:rPr>
            <w:t>Жирятинского</w:t>
          </w:r>
          <w:r>
            <w:rPr>
              <w:rFonts w:eastAsia="Calibri"/>
              <w:lang w:eastAsia="en-US"/>
            </w:rPr>
            <w:t xml:space="preserve"> (</w:t>
          </w:r>
          <w:r>
            <w:rPr>
              <w:rFonts w:eastAsia="Calibri"/>
              <w:color w:val="000000"/>
              <w:lang w:eastAsia="en-US"/>
            </w:rPr>
            <w:t>20,0%</w:t>
          </w:r>
          <w:r>
            <w:rPr>
              <w:rFonts w:eastAsia="Calibri"/>
              <w:lang w:eastAsia="en-US"/>
            </w:rPr>
            <w:t>), Злынковского (37,5%), Комаричского (</w:t>
          </w:r>
          <w:r>
            <w:rPr>
              <w:rFonts w:eastAsia="Calibri"/>
              <w:color w:val="000000"/>
              <w:lang w:eastAsia="en-US"/>
            </w:rPr>
            <w:t>25,0</w:t>
          </w:r>
          <w:r>
            <w:rPr>
              <w:rFonts w:eastAsia="Calibri"/>
              <w:lang w:eastAsia="en-US"/>
            </w:rPr>
            <w:t xml:space="preserve">%), Суземского (25,0%), Трубчевского (25,0%), Погарского (23,8%), Гордеевского (20,0%), Красногорского (20,0%), Жуковского округа (18,75%), </w:t>
          </w:r>
          <w:r>
            <w:rPr>
              <w:rFonts w:eastAsia="Calibri"/>
              <w:color w:val="000000"/>
              <w:lang w:eastAsia="en-US"/>
            </w:rPr>
            <w:t>Выгоничского</w:t>
          </w:r>
          <w:r>
            <w:rPr>
              <w:rFonts w:eastAsia="Calibri"/>
              <w:lang w:eastAsia="en-US"/>
            </w:rPr>
            <w:t xml:space="preserve"> (</w:t>
          </w:r>
          <w:r>
            <w:rPr>
              <w:rFonts w:eastAsia="Calibri"/>
              <w:color w:val="000000"/>
              <w:lang w:eastAsia="en-US"/>
            </w:rPr>
            <w:t>18,2</w:t>
          </w:r>
          <w:r>
            <w:rPr>
              <w:rFonts w:eastAsia="Calibri"/>
              <w:lang w:eastAsia="en-US"/>
            </w:rPr>
            <w:t>%), Брянского (</w:t>
          </w:r>
          <w:r>
            <w:rPr>
              <w:rFonts w:eastAsia="Calibri"/>
              <w:color w:val="000000"/>
              <w:lang w:eastAsia="en-US"/>
            </w:rPr>
            <w:t>17,4</w:t>
          </w:r>
          <w:r>
            <w:rPr>
              <w:rFonts w:eastAsia="Calibri"/>
              <w:lang w:eastAsia="en-US"/>
            </w:rPr>
            <w:t>%), Кл</w:t>
          </w:r>
          <w:r>
            <w:rPr>
              <w:rFonts w:eastAsia="Calibri"/>
              <w:lang w:eastAsia="en-US"/>
            </w:rPr>
            <w:t>етнянского (14,2%), Навлинского (</w:t>
          </w:r>
          <w:r>
            <w:rPr>
              <w:rFonts w:eastAsia="Calibri"/>
              <w:color w:val="000000"/>
              <w:lang w:eastAsia="en-US"/>
            </w:rPr>
            <w:t>13,3</w:t>
          </w:r>
          <w:r>
            <w:rPr>
              <w:rFonts w:eastAsia="Calibri"/>
              <w:lang w:eastAsia="en-US"/>
            </w:rPr>
            <w:t>%), Суражского (13,0%), Рогнединского (12,5%), Стародубского округа (9,0%), Почепского (8,3%), Мглинского (7,7%), Брасовского (7,6%), Унечского (6,0%), Климовского (4,5%) муниципальных районов, а также городских округов</w:t>
          </w:r>
          <w:r>
            <w:rPr>
              <w:rFonts w:eastAsia="Calibri"/>
              <w:lang w:eastAsia="en-US"/>
            </w:rPr>
            <w:t>: г.Брянск (81,2%), г. Фокино (</w:t>
          </w:r>
          <w:r>
            <w:rPr>
              <w:rFonts w:eastAsia="Calibri"/>
              <w:color w:val="000000"/>
              <w:lang w:eastAsia="en-US"/>
            </w:rPr>
            <w:t>33,3</w:t>
          </w:r>
          <w:r>
            <w:rPr>
              <w:rFonts w:eastAsia="Calibri"/>
              <w:lang w:eastAsia="en-US"/>
            </w:rPr>
            <w:t xml:space="preserve">%), г. Сельцо (20,0%), г. Клинцы (18,8%), г. Новозыбков (6,0%). </w:t>
          </w:r>
        </w:p>
        <w:p w:rsidR="008E239A" w:rsidRDefault="00D61E62">
          <w:pPr>
            <w:tabs>
              <w:tab w:val="left" w:pos="708"/>
              <w:tab w:val="center" w:pos="4153"/>
              <w:tab w:val="right" w:pos="8306"/>
            </w:tabs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 xml:space="preserve">В Карачевском, Клинцовском, Севском районах </w:t>
          </w:r>
          <w:r>
            <w:rPr>
              <w:rFonts w:eastAsia="Calibri"/>
              <w:lang w:eastAsia="en-US"/>
            </w:rPr>
            <w:t>муниципальные общеобразовательные учреждения, здания которых находятся в аварийном состоянии, отсутствовали</w:t>
          </w:r>
          <w:r>
            <w:rPr>
              <w:rFonts w:eastAsia="Calibri"/>
              <w:lang w:eastAsia="en-US"/>
            </w:rPr>
            <w:t>.</w:t>
          </w:r>
        </w:p>
        <w:p w:rsidR="008E239A" w:rsidRDefault="008E239A">
          <w:pPr>
            <w:tabs>
              <w:tab w:val="left" w:pos="708"/>
              <w:tab w:val="center" w:pos="4153"/>
              <w:tab w:val="right" w:pos="8306"/>
            </w:tabs>
            <w:suppressAutoHyphens/>
            <w:ind w:firstLine="709"/>
            <w:jc w:val="both"/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b/>
            </w:rPr>
            <w:t>16</w:t>
          </w:r>
          <w:r>
            <w:rPr>
              <w:b/>
            </w:rPr>
            <w:t>. Доля детей первой и второй групп здоровья в общей численности обучающихся в муниципальных общеобразовательных учреждениях (процентов)</w:t>
          </w:r>
        </w:p>
        <w:p w:rsidR="008E239A" w:rsidRDefault="00D61E62">
          <w:pPr>
            <w:suppressAutoHyphens/>
            <w:ind w:firstLine="720"/>
            <w:jc w:val="both"/>
          </w:pPr>
          <w:r>
            <w:t xml:space="preserve"> </w:t>
          </w:r>
          <w:r>
            <w:t xml:space="preserve">В 2023 году доля детей первой и второй групп здоровья в общей численности обучающихся в муниципальных общеобразовательных учреждениях в </w:t>
          </w:r>
          <w:r>
            <w:rPr>
              <w:color w:val="000000"/>
            </w:rPr>
            <w:t>среднем</w:t>
          </w:r>
          <w:r>
            <w:t xml:space="preserve"> по области </w:t>
          </w:r>
          <w:r>
            <w:rPr>
              <w:color w:val="000000"/>
            </w:rPr>
            <w:t>увеличилась</w:t>
          </w:r>
          <w:r>
            <w:t xml:space="preserve"> к уровню 2022 года на </w:t>
          </w:r>
          <w:r>
            <w:rPr>
              <w:color w:val="000000"/>
            </w:rPr>
            <w:t>0,43 п.п.</w:t>
          </w:r>
          <w:r>
            <w:t xml:space="preserve"> и составила </w:t>
          </w:r>
          <w:r>
            <w:rPr>
              <w:color w:val="000000"/>
            </w:rPr>
            <w:t>86,48 процента</w:t>
          </w:r>
          <w:r>
            <w:t>.</w:t>
          </w:r>
          <w:r>
            <w:t xml:space="preserve"> 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Наибольший рост показателя </w:t>
          </w:r>
          <w:r>
            <w:rPr>
              <w:color w:val="000000"/>
            </w:rPr>
            <w:t>с</w:t>
          </w:r>
          <w:r>
            <w:rPr>
              <w:color w:val="000000"/>
            </w:rPr>
            <w:t>ложился</w:t>
          </w:r>
          <w:r>
            <w:t xml:space="preserve"> в Клетнянском (на 18,73 п.п.), Красногорском (на 14,0 п.п.), </w:t>
          </w:r>
          <w:r>
            <w:rPr>
              <w:color w:val="000000"/>
            </w:rPr>
            <w:t xml:space="preserve">Карачевском </w:t>
          </w:r>
          <w:r>
            <w:t xml:space="preserve">(на </w:t>
          </w:r>
          <w:r>
            <w:rPr>
              <w:color w:val="000000"/>
            </w:rPr>
            <w:t>6,6 п.п.</w:t>
          </w:r>
          <w:r>
            <w:t>) муниципальных районах.</w:t>
          </w:r>
        </w:p>
        <w:p w:rsidR="008E239A" w:rsidRDefault="00D61E62">
          <w:pPr>
            <w:suppressAutoHyphens/>
            <w:ind w:firstLine="709"/>
            <w:jc w:val="both"/>
          </w:pPr>
          <w:r>
            <w:lastRenderedPageBreak/>
            <w:t xml:space="preserve">Наибольшее снижение показателя отмечено в </w:t>
          </w:r>
          <w:r>
            <w:rPr>
              <w:color w:val="000000"/>
            </w:rPr>
            <w:t xml:space="preserve">Унечском </w:t>
          </w:r>
          <w:r>
            <w:t xml:space="preserve">(на </w:t>
          </w:r>
          <w:r>
            <w:rPr>
              <w:color w:val="000000"/>
            </w:rPr>
            <w:t>10,9 п.п.</w:t>
          </w:r>
          <w:r>
            <w:t xml:space="preserve">),  </w:t>
          </w:r>
          <w:r>
            <w:rPr>
              <w:color w:val="000000"/>
            </w:rPr>
            <w:t>Почепском</w:t>
          </w:r>
          <w:r>
            <w:t xml:space="preserve"> (на </w:t>
          </w:r>
          <w:r>
            <w:rPr>
              <w:color w:val="000000"/>
            </w:rPr>
            <w:t>6</w:t>
          </w:r>
          <w:r>
            <w:t xml:space="preserve">,2 п.п.)  муниципальных районах, в </w:t>
          </w:r>
          <w:r>
            <w:rPr>
              <w:color w:val="000000"/>
            </w:rPr>
            <w:t>Жуковском муниципаль</w:t>
          </w:r>
          <w:r>
            <w:rPr>
              <w:color w:val="000000"/>
            </w:rPr>
            <w:t>ном округе (на 7,1 п.п.)</w:t>
          </w:r>
          <w:r>
            <w:t>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color w:val="000000"/>
            </w:rPr>
            <w:t>Наибольшее</w:t>
          </w:r>
          <w:r>
            <w:t xml:space="preserve"> значение показателя достигнуто: </w:t>
          </w:r>
          <w:r>
            <w:rPr>
              <w:color w:val="000000"/>
            </w:rPr>
            <w:t>в группе</w:t>
          </w:r>
          <w:r>
            <w:t xml:space="preserve"> городских округов - в г. </w:t>
          </w:r>
          <w:r>
            <w:rPr>
              <w:color w:val="000000"/>
            </w:rPr>
            <w:t xml:space="preserve">Фокино (98,2%), г. Клинцы (93,1%), г. Брянске (83,3%); в группе муниципальных районов - в Карачевском (97,0%), Суземском (93,9%), Злынковском (93,7%) </w:t>
          </w:r>
          <w:r>
            <w:rPr>
              <w:color w:val="000000"/>
            </w:rPr>
            <w:t>районах</w:t>
          </w:r>
          <w:r>
            <w:t xml:space="preserve">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color w:val="000000"/>
            </w:rPr>
            <w:t>Наименьшее</w:t>
          </w:r>
          <w:r>
            <w:t xml:space="preserve"> значение показателя сложилось в городских округах г.Новозыбков (</w:t>
          </w:r>
          <w:r>
            <w:rPr>
              <w:color w:val="000000"/>
            </w:rPr>
            <w:t>65,1%</w:t>
          </w:r>
          <w:r>
            <w:t>), г. Сельцо (</w:t>
          </w:r>
          <w:r>
            <w:rPr>
              <w:color w:val="000000"/>
            </w:rPr>
            <w:t>73,6%</w:t>
          </w:r>
          <w:r>
            <w:t>).</w:t>
          </w: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D61E62">
          <w:pPr>
            <w:suppressAutoHyphens/>
            <w:ind w:firstLine="709"/>
            <w:jc w:val="both"/>
            <w:rPr>
              <w:b/>
              <w:bCs/>
            </w:rPr>
          </w:pPr>
          <w:r>
            <w:rPr>
              <w:b/>
              <w:bCs/>
            </w:rPr>
            <w:t xml:space="preserve">17. Доля обучающихся в муниципальных общеобразовательных учреждениях, занимающихся во вторую (третью) смену, в общей численности обучающихся в </w:t>
          </w:r>
          <w:r>
            <w:rPr>
              <w:b/>
              <w:bCs/>
            </w:rPr>
            <w:t>муниципальных общеобразовательных учреждениях.</w:t>
          </w:r>
        </w:p>
        <w:p w:rsidR="008E239A" w:rsidRDefault="00D61E62">
          <w:pPr>
            <w:ind w:firstLine="709"/>
          </w:pPr>
          <w:r>
            <w:t xml:space="preserve">В 2023 году значение показателя в целом по области составило </w:t>
          </w:r>
          <w:r>
            <w:rPr>
              <w:color w:val="000000"/>
            </w:rPr>
            <w:t>4,39</w:t>
          </w:r>
          <w:r>
            <w:t>% (в 20</w:t>
          </w:r>
          <w:r>
            <w:rPr>
              <w:color w:val="000000"/>
            </w:rPr>
            <w:t>22</w:t>
          </w:r>
          <w:r>
            <w:t xml:space="preserve"> году – </w:t>
          </w:r>
          <w:r>
            <w:rPr>
              <w:color w:val="000000"/>
            </w:rPr>
            <w:t>4,39</w:t>
          </w:r>
          <w:r>
            <w:t>%).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В общеобразовательных организациях </w:t>
          </w:r>
          <w:r>
            <w:rPr>
              <w:color w:val="000000"/>
            </w:rPr>
            <w:t xml:space="preserve">Брянской </w:t>
          </w:r>
          <w:r>
            <w:t xml:space="preserve">области отсутствует 3 смена. В </w:t>
          </w:r>
          <w:r>
            <w:rPr>
              <w:color w:val="000000"/>
            </w:rPr>
            <w:t>17 муниципальных районах</w:t>
          </w:r>
          <w:r>
            <w:t xml:space="preserve"> области и в городах </w:t>
          </w:r>
          <w:r>
            <w:rPr>
              <w:color w:val="000000"/>
            </w:rPr>
            <w:t>Новозыбков, Сельцо, Фокино</w:t>
          </w:r>
          <w:r>
            <w:t xml:space="preserve"> отсутствует вторая смена. </w:t>
          </w: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b/>
            </w:rPr>
            <w:t>18. Расходы бюджета муниципального образования на общее образование в расчете на 1 обучающегося в муниципальных общеобразовательных учреждениях (тыс. рублей)</w:t>
          </w:r>
        </w:p>
        <w:p w:rsidR="008E239A" w:rsidRDefault="00D61E62">
          <w:pPr>
            <w:suppressAutoHyphens/>
            <w:ind w:firstLine="709"/>
            <w:contextualSpacing/>
            <w:jc w:val="both"/>
          </w:pPr>
          <w:r>
            <w:t>В среднем по области р</w:t>
          </w:r>
          <w:r>
            <w:t xml:space="preserve">асходы бюджета муниципального образования на общее образование в расчете на 1 обучающегося в муниципальных общеобразовательных учреждениях в 2023 году увеличились на </w:t>
          </w:r>
          <w:r>
            <w:rPr>
              <w:color w:val="000000"/>
            </w:rPr>
            <w:t>8,72</w:t>
          </w:r>
          <w:r>
            <w:t xml:space="preserve">% и составили </w:t>
          </w:r>
          <w:r>
            <w:rPr>
              <w:color w:val="000000"/>
            </w:rPr>
            <w:t xml:space="preserve">112,68 </w:t>
          </w:r>
          <w:r>
            <w:t>тыс. рублей. Рост расходов обусловлен увеличением фонда оплаты тр</w:t>
          </w:r>
          <w:r>
            <w:t>уда педагогических работников, а также увеличением минимального размера оплаты труда.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 xml:space="preserve">В среднем по городским округам расходы на 1 обучающегося в 2023 году составили </w:t>
          </w:r>
          <w:r>
            <w:rPr>
              <w:rFonts w:eastAsia="Calibri"/>
              <w:color w:val="000000"/>
              <w:lang w:eastAsia="en-US"/>
            </w:rPr>
            <w:t>79,02</w:t>
          </w:r>
          <w:r>
            <w:rPr>
              <w:rFonts w:eastAsia="Calibri"/>
              <w:lang w:eastAsia="en-US"/>
            </w:rPr>
            <w:t xml:space="preserve"> тыс. рублей (в 2022 году – </w:t>
          </w:r>
          <w:r>
            <w:rPr>
              <w:rFonts w:eastAsia="Calibri"/>
              <w:color w:val="000000"/>
              <w:lang w:eastAsia="en-US"/>
            </w:rPr>
            <w:t>72,12</w:t>
          </w:r>
          <w:r>
            <w:rPr>
              <w:rFonts w:eastAsia="Calibri"/>
              <w:lang w:eastAsia="en-US"/>
            </w:rPr>
            <w:t xml:space="preserve"> </w:t>
          </w:r>
          <w:r>
            <w:t>тыс. рублей)</w:t>
          </w:r>
          <w:r>
            <w:rPr>
              <w:rFonts w:eastAsia="Calibri"/>
              <w:lang w:eastAsia="en-US"/>
            </w:rPr>
            <w:t>. В муниципальных районах расходы на 1 о</w:t>
          </w:r>
          <w:r>
            <w:rPr>
              <w:rFonts w:eastAsia="Calibri"/>
              <w:lang w:eastAsia="en-US"/>
            </w:rPr>
            <w:t xml:space="preserve">бучающегося значительно выше, чем в городских округах, что связано с наличием малокомплектных сельских школ с </w:t>
          </w:r>
          <w:r>
            <w:rPr>
              <w:rFonts w:eastAsia="Calibri"/>
              <w:color w:val="000000"/>
              <w:lang w:eastAsia="en-US"/>
            </w:rPr>
            <w:t xml:space="preserve">малым </w:t>
          </w:r>
          <w:r>
            <w:rPr>
              <w:rFonts w:eastAsia="Calibri"/>
              <w:lang w:eastAsia="en-US"/>
            </w:rPr>
            <w:t xml:space="preserve">количеством обучающихся (119,16 тыс. рублей).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color w:val="000000"/>
            </w:rPr>
            <w:t xml:space="preserve">В группе </w:t>
          </w:r>
          <w:r>
            <w:t xml:space="preserve">городских округов наименьшие значения показателя в 2023 году </w:t>
          </w:r>
          <w:r>
            <w:rPr>
              <w:color w:val="000000"/>
            </w:rPr>
            <w:t>сложились</w:t>
          </w:r>
          <w:r>
            <w:t xml:space="preserve"> — в </w:t>
          </w:r>
          <w:r>
            <w:rPr>
              <w:color w:val="000000"/>
            </w:rPr>
            <w:t>г. Брянск</w:t>
          </w:r>
          <w:r>
            <w:rPr>
              <w:color w:val="000000"/>
            </w:rPr>
            <w:t>е (65,0 тыс. рублей), г. Фокино (70,0 тыс. рублей), г. Новозыбкове (78,6 тыс. рублей); в группе муниципальных районов — в Клетнянском (14,28 тыс. рублей), Брасовском (19,21 тыс. рублей), Климовском (28,6 тыс. рублей) районах.</w:t>
          </w:r>
        </w:p>
        <w:p w:rsidR="008E239A" w:rsidRDefault="00D61E62">
          <w:pPr>
            <w:keepNext/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>Наибольшие значения показателя</w:t>
          </w:r>
          <w:r>
            <w:rPr>
              <w:rFonts w:eastAsia="Calibri"/>
              <w:lang w:eastAsia="en-US"/>
            </w:rPr>
            <w:t xml:space="preserve"> </w:t>
          </w:r>
          <w:r>
            <w:rPr>
              <w:rFonts w:eastAsia="Calibri"/>
              <w:color w:val="000000"/>
              <w:lang w:eastAsia="en-US"/>
            </w:rPr>
            <w:t>достигнуты</w:t>
          </w:r>
          <w:r>
            <w:rPr>
              <w:rFonts w:eastAsia="Calibri"/>
              <w:lang w:eastAsia="en-US"/>
            </w:rPr>
            <w:t xml:space="preserve"> в Красногорском (306,1 тыс. рублей), </w:t>
          </w:r>
          <w:r>
            <w:rPr>
              <w:rFonts w:eastAsia="Calibri"/>
              <w:color w:val="000000"/>
              <w:lang w:eastAsia="en-US"/>
            </w:rPr>
            <w:t>Жирятинском (191,3 тыс. рублей), Рогнединском (165,7 тыс. рублей) муниципальных районах.</w:t>
          </w: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b/>
              <w:bCs/>
              <w:lang w:eastAsia="en-US"/>
            </w:rPr>
            <w:t>19. Доля детей в возрасте 5-18 лет, получающих услуги по дополнительному образованию в организациях различной организ</w:t>
          </w:r>
          <w:r>
            <w:rPr>
              <w:rFonts w:eastAsia="Calibri"/>
              <w:b/>
              <w:bCs/>
              <w:lang w:eastAsia="en-US"/>
            </w:rPr>
            <w:t>ационно-</w:t>
          </w:r>
          <w:r>
            <w:rPr>
              <w:rFonts w:eastAsia="Calibri"/>
              <w:b/>
              <w:bCs/>
              <w:lang w:eastAsia="en-US"/>
            </w:rPr>
            <w:lastRenderedPageBreak/>
            <w:t>правовой формы и формы собственности, в общей численности детей данной возрастной группы (процентов)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 xml:space="preserve">Показатель доли детей в возрасте 5-18 лет, получающих услуги по дополнительному образованию в организациях различной организационно-правовой формы </w:t>
          </w:r>
          <w:r>
            <w:rPr>
              <w:rFonts w:eastAsia="Calibri"/>
              <w:lang w:eastAsia="en-US"/>
            </w:rPr>
            <w:t>и формы собственности, в общей численности детей данной возрастной группы в муниципальных образовани</w:t>
          </w:r>
          <w:r>
            <w:rPr>
              <w:rFonts w:eastAsia="Calibri"/>
              <w:lang w:eastAsia="en-US"/>
            </w:rPr>
            <w:t xml:space="preserve">ях в 2023 году </w:t>
          </w:r>
          <w:r>
            <w:rPr>
              <w:rFonts w:eastAsia="Calibri"/>
              <w:color w:val="000000"/>
              <w:lang w:eastAsia="en-US"/>
            </w:rPr>
            <w:t>увеличилась на 2,36 п.п. к уровню</w:t>
          </w:r>
          <w:r>
            <w:rPr>
              <w:rFonts w:eastAsia="Calibri"/>
              <w:lang w:eastAsia="en-US"/>
            </w:rPr>
            <w:t xml:space="preserve"> 2022 года и составил </w:t>
          </w:r>
          <w:r>
            <w:rPr>
              <w:rFonts w:eastAsia="Calibri"/>
              <w:color w:val="000000"/>
              <w:lang w:eastAsia="en-US"/>
            </w:rPr>
            <w:t>75,28%</w:t>
          </w:r>
          <w:r>
            <w:rPr>
              <w:rFonts w:eastAsia="Calibri"/>
              <w:lang w:eastAsia="en-US"/>
            </w:rPr>
            <w:t>.</w:t>
          </w:r>
          <w:r>
            <w:rPr>
              <w:rFonts w:eastAsia="Calibri"/>
              <w:lang w:eastAsia="en-US"/>
            </w:rPr>
            <w:t xml:space="preserve">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 xml:space="preserve">В группе городских округов наибольшее значение показателя </w:t>
          </w:r>
          <w:r>
            <w:rPr>
              <w:rFonts w:eastAsia="Calibri"/>
              <w:color w:val="000000"/>
              <w:lang w:eastAsia="en-US"/>
            </w:rPr>
            <w:t>достигнуты</w:t>
          </w:r>
          <w:r>
            <w:rPr>
              <w:rFonts w:eastAsia="Calibri"/>
              <w:lang w:eastAsia="en-US"/>
            </w:rPr>
            <w:t xml:space="preserve"> в </w:t>
          </w:r>
          <w:r>
            <w:rPr>
              <w:rFonts w:eastAsia="Calibri"/>
              <w:color w:val="000000"/>
              <w:lang w:eastAsia="en-US"/>
            </w:rPr>
            <w:t>г</w:t>
          </w:r>
          <w:r>
            <w:rPr>
              <w:rFonts w:eastAsia="Calibri"/>
              <w:lang w:eastAsia="en-US"/>
            </w:rPr>
            <w:t>.Фоки</w:t>
          </w:r>
          <w:r>
            <w:rPr>
              <w:rFonts w:eastAsia="Calibri"/>
              <w:lang w:eastAsia="en-US"/>
            </w:rPr>
            <w:t>но (83,0%), г. Клинцы (81,9%), г. Новозыбкове (81,0%); в группе муниципальных районов — в Севском (95,0%), Клинцовском (91,6%), Унечском (90,0%) районах.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 xml:space="preserve">Наименьшие значения показателя сложились в группе городских округов — в г. Брянске (79,6%), г. Сельцо </w:t>
          </w:r>
          <w:r>
            <w:rPr>
              <w:rFonts w:eastAsia="Calibri"/>
              <w:lang w:eastAsia="en-US"/>
            </w:rPr>
            <w:t>(80,0%); в группе муниципальных районов — в Трубчевском (29,3%), Навлинском (47,0%), Гордеевском (56,1%).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color w:val="000000"/>
              <w:lang w:eastAsia="en-US"/>
            </w:rPr>
            <w:t>Положительная динамика</w:t>
          </w:r>
          <w:r>
            <w:rPr>
              <w:rFonts w:eastAsia="Calibri"/>
              <w:lang w:eastAsia="en-US"/>
            </w:rPr>
            <w:t xml:space="preserve"> показателя сложилась </w:t>
          </w:r>
          <w:r>
            <w:rPr>
              <w:rFonts w:eastAsia="Calibri"/>
              <w:color w:val="000000"/>
              <w:lang w:eastAsia="en-US"/>
            </w:rPr>
            <w:t xml:space="preserve">во всех </w:t>
          </w:r>
          <w:r>
            <w:rPr>
              <w:rFonts w:eastAsia="Calibri"/>
              <w:lang w:eastAsia="en-US"/>
            </w:rPr>
            <w:t xml:space="preserve">городских округах и в </w:t>
          </w:r>
          <w:r>
            <w:rPr>
              <w:rFonts w:eastAsia="Calibri"/>
              <w:color w:val="000000"/>
              <w:lang w:eastAsia="en-US"/>
            </w:rPr>
            <w:t>16</w:t>
          </w:r>
          <w:r>
            <w:rPr>
              <w:rFonts w:eastAsia="Calibri"/>
              <w:lang w:eastAsia="en-US"/>
            </w:rPr>
            <w:t xml:space="preserve"> муниципальных районах. Лидерами по</w:t>
          </w:r>
          <w:bookmarkStart w:id="15" w:name="page36R_mcid77"/>
          <w:bookmarkEnd w:id="15"/>
          <w:r>
            <w:rPr>
              <w:rFonts w:eastAsia="Calibri"/>
              <w:lang w:eastAsia="en-US"/>
            </w:rPr>
            <w:t xml:space="preserve"> темп</w:t>
          </w:r>
          <w:bookmarkStart w:id="16" w:name="page36R_mcid78"/>
          <w:bookmarkEnd w:id="16"/>
          <w:r>
            <w:rPr>
              <w:rFonts w:eastAsia="Calibri"/>
              <w:lang w:eastAsia="en-US"/>
            </w:rPr>
            <w:t>у роста являютс</w:t>
          </w:r>
          <w:bookmarkStart w:id="17" w:name="page36R_mcid81"/>
          <w:bookmarkEnd w:id="17"/>
          <w:r>
            <w:rPr>
              <w:rFonts w:eastAsia="Calibri"/>
              <w:lang w:eastAsia="en-US"/>
            </w:rPr>
            <w:t xml:space="preserve">я </w:t>
          </w:r>
          <w:r>
            <w:rPr>
              <w:rFonts w:eastAsia="Calibri"/>
              <w:color w:val="000000"/>
              <w:lang w:eastAsia="en-US"/>
            </w:rPr>
            <w:t>Красногорский</w:t>
          </w:r>
          <w:r>
            <w:rPr>
              <w:rFonts w:eastAsia="Calibri"/>
              <w:lang w:eastAsia="en-US"/>
            </w:rPr>
            <w:t xml:space="preserve"> мун</w:t>
          </w:r>
          <w:r>
            <w:rPr>
              <w:rFonts w:eastAsia="Calibri"/>
              <w:lang w:eastAsia="en-US"/>
            </w:rPr>
            <w:t xml:space="preserve">иципальный район (на </w:t>
          </w:r>
          <w:r>
            <w:rPr>
              <w:rFonts w:eastAsia="Calibri"/>
              <w:color w:val="000000"/>
              <w:lang w:eastAsia="en-US"/>
            </w:rPr>
            <w:t>12,8</w:t>
          </w:r>
          <w:r>
            <w:rPr>
              <w:rFonts w:eastAsia="Calibri"/>
              <w:lang w:eastAsia="en-US"/>
            </w:rPr>
            <w:t xml:space="preserve"> п.п.), </w:t>
          </w:r>
          <w:r>
            <w:rPr>
              <w:rFonts w:eastAsia="Calibri"/>
              <w:color w:val="000000"/>
              <w:lang w:eastAsia="en-US"/>
            </w:rPr>
            <w:t>Выгоничский</w:t>
          </w:r>
          <w:r>
            <w:rPr>
              <w:rFonts w:eastAsia="Calibri"/>
              <w:lang w:eastAsia="en-US"/>
            </w:rPr>
            <w:t xml:space="preserve"> муниципальный район (на 9,6 п.п.), </w:t>
          </w:r>
          <w:r>
            <w:rPr>
              <w:rFonts w:eastAsia="Calibri"/>
              <w:color w:val="000000"/>
              <w:lang w:eastAsia="en-US"/>
            </w:rPr>
            <w:t>Гордеевский</w:t>
          </w:r>
          <w:r>
            <w:rPr>
              <w:rFonts w:eastAsia="Calibri"/>
              <w:lang w:eastAsia="en-US"/>
            </w:rPr>
            <w:t xml:space="preserve"> муниципальный район (на</w:t>
          </w:r>
          <w:bookmarkStart w:id="18" w:name="page36R_mcid92"/>
          <w:bookmarkEnd w:id="18"/>
          <w:r>
            <w:rPr>
              <w:rFonts w:eastAsia="Calibri"/>
              <w:lang w:eastAsia="en-US"/>
            </w:rPr>
            <w:t xml:space="preserve"> </w:t>
          </w:r>
          <w:r>
            <w:rPr>
              <w:rFonts w:eastAsia="Calibri"/>
              <w:color w:val="000000"/>
              <w:lang w:eastAsia="en-US"/>
            </w:rPr>
            <w:t>6,1</w:t>
          </w:r>
          <w:r>
            <w:rPr>
              <w:rFonts w:eastAsia="Calibri"/>
              <w:lang w:eastAsia="en-US"/>
            </w:rPr>
            <w:t xml:space="preserve"> п.п.).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>Снижение</w:t>
          </w:r>
          <w:bookmarkStart w:id="19" w:name="page36R_mcid113"/>
          <w:bookmarkEnd w:id="19"/>
          <w:r>
            <w:rPr>
              <w:rFonts w:eastAsia="Calibri"/>
              <w:lang w:eastAsia="en-US"/>
            </w:rPr>
            <w:t xml:space="preserve"> показателя</w:t>
          </w:r>
          <w:bookmarkStart w:id="20" w:name="page36R_mcid114"/>
          <w:bookmarkEnd w:id="20"/>
          <w:r>
            <w:rPr>
              <w:rFonts w:eastAsia="Calibri"/>
              <w:lang w:eastAsia="en-US"/>
            </w:rPr>
            <w:t xml:space="preserve"> отмечено в </w:t>
          </w:r>
          <w:r>
            <w:rPr>
              <w:rFonts w:eastAsia="Calibri"/>
              <w:color w:val="000000"/>
              <w:lang w:eastAsia="en-US"/>
            </w:rPr>
            <w:t>трех муниципальных</w:t>
          </w:r>
          <w:r>
            <w:rPr>
              <w:rFonts w:eastAsia="Calibri"/>
              <w:lang w:eastAsia="en-US"/>
            </w:rPr>
            <w:t xml:space="preserve"> районах</w:t>
          </w:r>
          <w:bookmarkStart w:id="21" w:name="page36R_mcid120"/>
          <w:bookmarkEnd w:id="21"/>
          <w:r>
            <w:rPr>
              <w:rFonts w:eastAsia="Calibri"/>
              <w:lang w:eastAsia="en-US"/>
            </w:rPr>
            <w:t>: в</w:t>
          </w:r>
          <w:bookmarkStart w:id="22" w:name="page36R_mcid121"/>
          <w:bookmarkEnd w:id="22"/>
          <w:r>
            <w:rPr>
              <w:rFonts w:eastAsia="Calibri"/>
              <w:lang w:eastAsia="en-US"/>
            </w:rPr>
            <w:t xml:space="preserve"> </w:t>
          </w:r>
          <w:r>
            <w:rPr>
              <w:rFonts w:eastAsia="Calibri"/>
              <w:color w:val="000000"/>
              <w:lang w:eastAsia="en-US"/>
            </w:rPr>
            <w:t>Жирятинском</w:t>
          </w:r>
          <w:r>
            <w:rPr>
              <w:rFonts w:eastAsia="Calibri"/>
              <w:lang w:eastAsia="en-US"/>
            </w:rPr>
            <w:t xml:space="preserve"> (на </w:t>
          </w:r>
          <w:r>
            <w:rPr>
              <w:rFonts w:eastAsia="Calibri"/>
              <w:color w:val="000000"/>
              <w:lang w:eastAsia="en-US"/>
            </w:rPr>
            <w:t>0,1</w:t>
          </w:r>
          <w:r>
            <w:rPr>
              <w:rFonts w:eastAsia="Calibri"/>
              <w:lang w:eastAsia="en-US"/>
            </w:rPr>
            <w:t xml:space="preserve"> п.п.),</w:t>
          </w:r>
          <w:bookmarkStart w:id="23" w:name="page36R_mcid133"/>
          <w:bookmarkEnd w:id="23"/>
          <w:r>
            <w:rPr>
              <w:rFonts w:eastAsia="Calibri"/>
              <w:lang w:eastAsia="en-US"/>
            </w:rPr>
            <w:t xml:space="preserve"> </w:t>
          </w:r>
          <w:r>
            <w:rPr>
              <w:rFonts w:eastAsia="Calibri"/>
              <w:color w:val="000000"/>
              <w:lang w:eastAsia="en-US"/>
            </w:rPr>
            <w:t xml:space="preserve">Карачевском </w:t>
          </w:r>
          <w:r>
            <w:rPr>
              <w:rFonts w:eastAsia="Calibri"/>
              <w:lang w:eastAsia="en-US"/>
            </w:rPr>
            <w:t>(н</w:t>
          </w:r>
          <w:bookmarkStart w:id="24" w:name="page36R_mcid151"/>
          <w:bookmarkEnd w:id="24"/>
          <w:r>
            <w:rPr>
              <w:rFonts w:eastAsia="Calibri"/>
              <w:lang w:eastAsia="en-US"/>
            </w:rPr>
            <w:t>а 1,7 п.п.), Климовском (на</w:t>
          </w:r>
          <w:r>
            <w:rPr>
              <w:rFonts w:eastAsia="Calibri"/>
              <w:lang w:eastAsia="en-US"/>
            </w:rPr>
            <w:t xml:space="preserve"> 2,0 п.п.).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>Показатель не изменился и остался на уровне 2022 года в городском округе г. Фокино (83,0%), в Брянском (76,2%), Клинцовском (91,6%), Комаричском (75,0%), Навлинском (47,0%), Суражском (70,0%), Унечском (90,0%) муниципальных районах, в Стародуб</w:t>
          </w:r>
          <w:r>
            <w:rPr>
              <w:rFonts w:eastAsia="Calibri"/>
              <w:lang w:eastAsia="en-US"/>
            </w:rPr>
            <w:t>ском муниципальном округе (83,3%).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 xml:space="preserve"> </w:t>
          </w:r>
        </w:p>
        <w:p w:rsidR="008E239A" w:rsidRDefault="00D61E62">
          <w:pPr>
            <w:shd w:val="clear" w:color="auto" w:fill="FFFFFF"/>
            <w:suppressAutoHyphens/>
            <w:jc w:val="center"/>
          </w:pPr>
          <w:r>
            <w:rPr>
              <w:u w:val="single"/>
            </w:rPr>
            <w:t xml:space="preserve">Перечень мероприятий по повышению результативности деятельности органов местного самоуправления городских округов и муниципальных районов в сфере </w:t>
          </w:r>
        </w:p>
        <w:p w:rsidR="008E239A" w:rsidRDefault="00D61E62">
          <w:pPr>
            <w:shd w:val="clear" w:color="auto" w:fill="FFFFFF"/>
            <w:suppressAutoHyphens/>
            <w:jc w:val="center"/>
          </w:pPr>
          <w:r>
            <w:rPr>
              <w:u w:val="single"/>
            </w:rPr>
            <w:t>«Общее и дополнительное образование»</w:t>
          </w:r>
        </w:p>
        <w:p w:rsidR="008E239A" w:rsidRDefault="008E239A">
          <w:pPr>
            <w:shd w:val="clear" w:color="auto" w:fill="FFFFFF"/>
            <w:suppressAutoHyphens/>
            <w:jc w:val="center"/>
          </w:pPr>
        </w:p>
        <w:p w:rsidR="008E239A" w:rsidRDefault="00D61E62">
          <w:pPr>
            <w:shd w:val="clear" w:color="auto" w:fill="FFFFFF"/>
            <w:suppressAutoHyphens/>
            <w:ind w:firstLine="709"/>
            <w:jc w:val="both"/>
          </w:pPr>
          <w:r>
            <w:rPr>
              <w:rFonts w:eastAsia="Calibri"/>
            </w:rPr>
            <w:t xml:space="preserve">1. Реализация </w:t>
          </w:r>
          <w:r>
            <w:rPr>
              <w:rFonts w:eastAsia="Calibri"/>
              <w:color w:val="000000"/>
            </w:rPr>
            <w:t xml:space="preserve">мероприятий, </w:t>
          </w:r>
          <w:r>
            <w:rPr>
              <w:rFonts w:eastAsia="Calibri"/>
              <w:color w:val="000000"/>
            </w:rPr>
            <w:t>направленных на р</w:t>
          </w:r>
          <w:r>
            <w:rPr>
              <w:rFonts w:eastAsia="Calibri"/>
            </w:rPr>
            <w:t xml:space="preserve">азвитие общего и дополнительного образования детей государственной программы </w:t>
          </w:r>
          <w:r>
            <w:rPr>
              <w:rFonts w:eastAsia="Calibri"/>
              <w:color w:val="000000"/>
            </w:rPr>
            <w:t>Брянской</w:t>
          </w:r>
          <w:r>
            <w:rPr>
              <w:rFonts w:eastAsia="Calibri"/>
            </w:rPr>
            <w:t xml:space="preserve"> области «Развитие образования и науки  </w:t>
          </w:r>
          <w:r>
            <w:rPr>
              <w:rFonts w:eastAsia="Calibri"/>
              <w:color w:val="000000"/>
            </w:rPr>
            <w:t>Брянской</w:t>
          </w:r>
          <w:r>
            <w:rPr>
              <w:rFonts w:eastAsia="Calibri"/>
            </w:rPr>
            <w:t xml:space="preserve"> области».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 xml:space="preserve">2. Реализация мероприятий региональных проектов «Современная школа» и «Успех каждого ребенка» </w:t>
          </w:r>
          <w:r>
            <w:rPr>
              <w:rFonts w:eastAsia="Calibri"/>
              <w:lang w:eastAsia="en-US"/>
            </w:rPr>
            <w:t>национального проекта «Образо</w:t>
          </w:r>
          <w:r>
            <w:rPr>
              <w:rFonts w:eastAsia="Calibri"/>
              <w:lang w:eastAsia="en-US"/>
            </w:rPr>
            <w:t xml:space="preserve">вание» по укреплению материальной базы образовательных организаций общего и дополнительного образования.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>3. Обеспечение равного доступа к дополнительным общеобразовательным программам для различных категорий детей в соответств</w:t>
          </w:r>
          <w:r>
            <w:rPr>
              <w:rFonts w:eastAsia="Calibri"/>
              <w:lang w:eastAsia="en-US"/>
            </w:rPr>
            <w:t>ии с их образовательными потребностями и возможностями.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lang w:eastAsia="en-US"/>
            </w:rPr>
            <w:t>4. Организация работы по приведению зданий образовательных организаций в соответствие с требованиями пожарной, санитарно-</w:t>
          </w:r>
          <w:r>
            <w:t>эпидемиологической, антитеррористической безопасности.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color w:val="000000"/>
              <w:lang w:eastAsia="en-US"/>
            </w:rPr>
            <w:t>5</w:t>
          </w:r>
          <w:r>
            <w:rPr>
              <w:rFonts w:eastAsia="Calibri"/>
              <w:lang w:eastAsia="en-US"/>
            </w:rPr>
            <w:t>. О</w:t>
          </w:r>
          <w:r>
            <w:t>беспечение условий д</w:t>
          </w:r>
          <w:r>
            <w:t>ля профилактики и раннего выявления заболеваний, наблюдения за здоровьем, усиление профилактической работы, направленной на пропаганду здорового образа жизни.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</w:rPr>
            <w:lastRenderedPageBreak/>
            <w:t xml:space="preserve"> </w:t>
          </w:r>
        </w:p>
        <w:p w:rsidR="008E239A" w:rsidRDefault="00D61E62">
          <w:pPr>
            <w:pStyle w:val="aff7"/>
            <w:suppressAutoHyphens/>
            <w:spacing w:after="120" w:line="240" w:lineRule="auto"/>
            <w:ind w:left="0"/>
            <w:jc w:val="center"/>
          </w:pPr>
          <w:r>
            <w:rPr>
              <w:rFonts w:ascii="Times New Roman" w:hAnsi="Times New Roman"/>
              <w:b/>
              <w:sz w:val="28"/>
              <w:szCs w:val="28"/>
            </w:rPr>
            <w:t>КУЛЬТУРА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color w:val="000000"/>
            </w:rPr>
            <w:t>В рамках национального проекта «</w:t>
          </w:r>
          <w:r>
            <w:rPr>
              <w:rFonts w:eastAsia="Calibri"/>
              <w:color w:val="000000"/>
              <w:lang w:eastAsia="ja-JP"/>
            </w:rPr>
            <w:t>Культура</w:t>
          </w:r>
          <w:r>
            <w:rPr>
              <w:rFonts w:eastAsia="Calibri"/>
              <w:color w:val="000000"/>
            </w:rPr>
            <w:t xml:space="preserve">» в Брянской области реализуются </w:t>
          </w:r>
          <w:r>
            <w:rPr>
              <w:rFonts w:eastAsia="Calibri"/>
              <w:color w:val="000000"/>
              <w:lang w:eastAsia="ja-JP"/>
            </w:rPr>
            <w:t>3</w:t>
          </w:r>
          <w:r>
            <w:rPr>
              <w:rFonts w:eastAsia="Calibri"/>
              <w:color w:val="000000"/>
            </w:rPr>
            <w:t xml:space="preserve"> региональных проекта: «Культурная среда», «Творческие люди», «Цифровая культура».</w:t>
          </w:r>
        </w:p>
        <w:p w:rsidR="008E239A" w:rsidRDefault="00D61E62">
          <w:pPr>
            <w:suppressAutoHyphens/>
            <w:ind w:firstLine="709"/>
            <w:contextualSpacing/>
            <w:jc w:val="both"/>
          </w:pPr>
          <w:r>
            <w:rPr>
              <w:rFonts w:eastAsia="Calibri"/>
              <w:color w:val="000000"/>
            </w:rPr>
            <w:t>Вопрос укрепления и обновления материально-технической базы является одним из ключевых вопросов для успешного функционирования и развития государственных и муниципальных учр</w:t>
          </w:r>
          <w:r>
            <w:rPr>
              <w:rFonts w:eastAsia="Calibri"/>
              <w:color w:val="000000"/>
            </w:rPr>
            <w:t>еждений культуры Брянской области.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color w:val="000000"/>
            </w:rPr>
            <w:t>В рамках реализации регионального проекта «Культурная среда» (Брянская область) осуществляются ремонты домов культуры, приобретение автоклубов, строительство центров культурного развития, переоснащение библиотек по модель</w:t>
          </w:r>
          <w:r>
            <w:rPr>
              <w:rFonts w:eastAsia="Calibri"/>
              <w:color w:val="000000"/>
            </w:rPr>
            <w:t xml:space="preserve">ному стандарту, модернизация </w:t>
          </w:r>
          <w:r>
            <w:rPr>
              <w:rFonts w:eastAsia="Calibri"/>
              <w:color w:val="000000"/>
              <w:lang w:eastAsia="ja-JP"/>
            </w:rPr>
            <w:t>детских школ искусств</w:t>
          </w:r>
          <w:r>
            <w:rPr>
              <w:rFonts w:eastAsia="Calibri"/>
              <w:color w:val="000000"/>
            </w:rPr>
            <w:t xml:space="preserve">, музеев и театров, реновация государственных и муниципальных учреждений культуры.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color w:val="000000"/>
            </w:rPr>
            <w:t xml:space="preserve">В 2023 году </w:t>
          </w:r>
          <w:r>
            <w:rPr>
              <w:rFonts w:eastAsia="Calibri"/>
              <w:color w:val="000000"/>
              <w:lang w:eastAsia="ja-JP"/>
            </w:rPr>
            <w:t>осуществлялась</w:t>
          </w:r>
          <w:r>
            <w:rPr>
              <w:rFonts w:eastAsia="Calibri"/>
              <w:color w:val="000000"/>
            </w:rPr>
            <w:t xml:space="preserve"> реконструкция МБУДО «Детская школа искусств №10», реконструкция будет завершена в 2024 году.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color w:val="000000"/>
              <w:lang w:eastAsia="ja-JP"/>
            </w:rPr>
            <w:t>Ч</w:t>
          </w:r>
          <w:r>
            <w:rPr>
              <w:rFonts w:eastAsia="Calibri"/>
              <w:color w:val="000000"/>
              <w:lang w:eastAsia="ja-JP"/>
            </w:rPr>
            <w:t>етыре</w:t>
          </w:r>
          <w:r>
            <w:rPr>
              <w:rFonts w:eastAsia="Calibri"/>
              <w:color w:val="000000"/>
            </w:rPr>
            <w:t xml:space="preserve"> </w:t>
          </w:r>
          <w:r>
            <w:rPr>
              <w:rFonts w:eastAsia="Calibri"/>
              <w:color w:val="000000"/>
              <w:lang w:eastAsia="ja-JP"/>
            </w:rPr>
            <w:t xml:space="preserve">детские школы искусств </w:t>
          </w:r>
          <w:r>
            <w:rPr>
              <w:rFonts w:eastAsia="Calibri"/>
              <w:color w:val="000000"/>
            </w:rPr>
            <w:t xml:space="preserve">в г. Унече, Новозыбкове, Трубчевске и детская школа искусств №10 г. Брянска </w:t>
          </w:r>
          <w:r>
            <w:rPr>
              <w:rFonts w:eastAsia="Calibri"/>
              <w:color w:val="000000"/>
              <w:lang w:eastAsia="ja-JP"/>
            </w:rPr>
            <w:t>укомплектованы музыкальными инструментами, современным оборудованием и литературой</w:t>
          </w:r>
          <w:r>
            <w:rPr>
              <w:rFonts w:eastAsia="Calibri"/>
              <w:color w:val="000000"/>
            </w:rPr>
            <w:t>.</w:t>
          </w:r>
        </w:p>
        <w:p w:rsidR="008E239A" w:rsidRDefault="00D61E62">
          <w:pPr>
            <w:ind w:firstLine="709"/>
            <w:jc w:val="both"/>
          </w:pPr>
          <w:r>
            <w:rPr>
              <w:rFonts w:eastAsia="Calibri"/>
            </w:rPr>
            <w:t>В рамках регионального проекта проводятся капитальные ремонты культ</w:t>
          </w:r>
          <w:r>
            <w:rPr>
              <w:rFonts w:eastAsia="Calibri"/>
            </w:rPr>
            <w:t>у</w:t>
          </w:r>
          <w:r>
            <w:rPr>
              <w:rFonts w:eastAsia="Calibri"/>
            </w:rPr>
            <w:t>р</w:t>
          </w:r>
          <w:r>
            <w:rPr>
              <w:rFonts w:eastAsia="Calibri"/>
            </w:rPr>
            <w:t>но-досуговых учреждений в сельской местности. В 2023 году проведены кап</w:t>
          </w:r>
          <w:r>
            <w:rPr>
              <w:rFonts w:eastAsia="Calibri"/>
            </w:rPr>
            <w:t>и</w:t>
          </w:r>
          <w:r>
            <w:rPr>
              <w:rFonts w:eastAsia="Calibri"/>
            </w:rPr>
            <w:t xml:space="preserve">тальные ремонты </w:t>
          </w:r>
          <w:r>
            <w:rPr>
              <w:rFonts w:eastAsia="Calibri"/>
              <w:color w:val="000000"/>
              <w:lang w:eastAsia="ja-JP"/>
            </w:rPr>
            <w:t>шести</w:t>
          </w:r>
          <w:r>
            <w:rPr>
              <w:rFonts w:eastAsia="Calibri"/>
            </w:rPr>
            <w:t xml:space="preserve"> домов культуры в сельской местности.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</w:rPr>
            <w:t>Библиотека № 1 им. Л.И. Добычина МБУК «Централизованная система общедоступных библиотек» г. Брянска переоснащена по модель</w:t>
          </w:r>
          <w:r>
            <w:rPr>
              <w:rFonts w:eastAsia="Calibri"/>
            </w:rPr>
            <w:t xml:space="preserve">ному стандарту.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color w:val="000000"/>
            </w:rPr>
            <w:t>На средства федеральной субсидии Погарский муниципальный район приобрел автоклуб для обслуживания населения в сельской местности. Автоклуб включает раздвижную сцену, световое и звуковое оборудование, места для перевозки артистов и использу</w:t>
          </w:r>
          <w:r>
            <w:rPr>
              <w:rFonts w:eastAsia="Calibri"/>
              <w:color w:val="000000"/>
            </w:rPr>
            <w:t xml:space="preserve">ется для обслуживания как сельского населения, так и воинских частей в приграничных районах.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</w:rPr>
            <w:t>В рамках субсидии из федерального бюджета бюджету Брянской области на оснащение региональных и муниципальных театров, находящихся в городах с численностью населен</w:t>
          </w:r>
          <w:r>
            <w:rPr>
              <w:rFonts w:eastAsia="Calibri"/>
            </w:rPr>
            <w:t>ия более 300 тыс. человек, в 2023 году приобретено оборудование комплекса художественно-постановочного освещения, включая монтажные работы, для ГАУК «Брянский областной ордена Трудового Красного Знамени театр драмы им. А.К. Толстого».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color w:val="000000"/>
              <w:lang w:eastAsia="ja-JP"/>
            </w:rPr>
            <w:t>Кроме того,</w:t>
          </w:r>
          <w:r>
            <w:rPr>
              <w:rFonts w:eastAsia="Calibri"/>
              <w:color w:val="000000"/>
            </w:rPr>
            <w:t xml:space="preserve"> в 2023 го</w:t>
          </w:r>
          <w:r>
            <w:rPr>
              <w:rFonts w:eastAsia="Calibri"/>
              <w:color w:val="000000"/>
            </w:rPr>
            <w:t xml:space="preserve">ду Брянской области выделены средства федерального бюджета </w:t>
          </w:r>
          <w:r>
            <w:rPr>
              <w:rFonts w:eastAsia="Calibri"/>
              <w:color w:val="000000"/>
              <w:lang w:eastAsia="ja-JP"/>
            </w:rPr>
            <w:t xml:space="preserve">на </w:t>
          </w:r>
          <w:r>
            <w:rPr>
              <w:rFonts w:eastAsia="Calibri"/>
              <w:color w:val="000000"/>
            </w:rPr>
            <w:t xml:space="preserve">выполнение капитального ремонта МУК «Унечский краеведческий музей», а также на техническое оснащение ГБУК «Брянский государственный краеведческий музей» и </w:t>
          </w:r>
          <w:r>
            <w:rPr>
              <w:rFonts w:eastAsia="Calibri"/>
              <w:color w:val="000000"/>
              <w:lang w:eastAsia="ja-JP"/>
            </w:rPr>
            <w:t>еще четырех</w:t>
          </w:r>
          <w:r>
            <w:rPr>
              <w:rFonts w:eastAsia="Calibri"/>
              <w:color w:val="000000"/>
            </w:rPr>
            <w:t xml:space="preserve"> муниципальных музеев. </w:t>
          </w: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b/>
              <w:color w:val="000000"/>
              <w:lang w:bidi="en-US"/>
            </w:rPr>
            <w:t>21.</w:t>
          </w:r>
          <w:r>
            <w:t xml:space="preserve"> </w:t>
          </w:r>
          <w:r>
            <w:rPr>
              <w:b/>
            </w:rPr>
            <w:t>Доля муниципальных учреждений культуры, здания которых находятся в аварийном состоянии или требуют капитального ремонта, в общем количестве муниципальных учреждений культуры (процентов)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cs="Calibri"/>
              <w:color w:val="000000"/>
              <w:lang w:eastAsia="ar-SA"/>
            </w:rPr>
            <w:t xml:space="preserve">Доля муниципальных учреждений культуры, здания которых находятся в аварийном состоянии или требуют капитального ремонта, в общем количестве </w:t>
          </w:r>
          <w:r>
            <w:rPr>
              <w:rFonts w:cs="Calibri"/>
              <w:color w:val="000000"/>
              <w:lang w:eastAsia="ar-SA"/>
            </w:rPr>
            <w:lastRenderedPageBreak/>
            <w:t xml:space="preserve">муниципальных учреждений культуры в среднем по области в 2023 году </w:t>
          </w:r>
          <w:r>
            <w:rPr>
              <w:rFonts w:cs="Calibri"/>
              <w:color w:val="000000"/>
              <w:lang w:eastAsia="ar-SA"/>
            </w:rPr>
            <w:t xml:space="preserve">к уровню </w:t>
          </w:r>
          <w:r>
            <w:rPr>
              <w:rFonts w:cs="Calibri"/>
              <w:color w:val="000000"/>
              <w:lang w:eastAsia="ar-SA"/>
            </w:rPr>
            <w:t xml:space="preserve"> 2022 года уменьшилась на </w:t>
          </w:r>
          <w:r>
            <w:rPr>
              <w:rFonts w:cs="Calibri"/>
              <w:color w:val="000000"/>
              <w:lang w:eastAsia="ar-SA"/>
            </w:rPr>
            <w:t>0,55</w:t>
          </w:r>
          <w:r>
            <w:rPr>
              <w:rFonts w:cs="Calibri"/>
              <w:color w:val="000000"/>
              <w:lang w:eastAsia="ar-SA"/>
            </w:rPr>
            <w:t xml:space="preserve"> п.п. и со</w:t>
          </w:r>
          <w:r>
            <w:rPr>
              <w:rFonts w:cs="Calibri"/>
              <w:color w:val="000000"/>
              <w:lang w:eastAsia="ar-SA"/>
            </w:rPr>
            <w:t xml:space="preserve">ставила 8,16%. 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cs="Calibri"/>
              <w:color w:val="000000"/>
              <w:lang w:eastAsia="ar-SA"/>
            </w:rPr>
            <w:t xml:space="preserve">Процент аварийных зданий в городском округе г. Брянск составил </w:t>
          </w:r>
          <w:r>
            <w:rPr>
              <w:rFonts w:cs="Calibri"/>
              <w:color w:val="000000"/>
              <w:lang w:eastAsia="ar-SA"/>
            </w:rPr>
            <w:t>41,4</w:t>
          </w:r>
          <w:r>
            <w:rPr>
              <w:rFonts w:cs="Calibri"/>
              <w:color w:val="000000"/>
              <w:lang w:eastAsia="ar-SA"/>
            </w:rPr>
            <w:t xml:space="preserve">%,  г. Новозыбков — 35,48%, г. Фокино — </w:t>
          </w:r>
          <w:r>
            <w:rPr>
              <w:rFonts w:cs="Calibri"/>
              <w:color w:val="000000"/>
              <w:lang w:eastAsia="ar-SA"/>
            </w:rPr>
            <w:t>40</w:t>
          </w:r>
          <w:r>
            <w:rPr>
              <w:rFonts w:cs="Calibri"/>
              <w:color w:val="000000"/>
              <w:lang w:eastAsia="ar-SA"/>
            </w:rPr>
            <w:t xml:space="preserve">%. В городских округах г. </w:t>
          </w:r>
          <w:r>
            <w:rPr>
              <w:rFonts w:cs="Calibri"/>
              <w:color w:val="000000"/>
              <w:lang w:eastAsia="ar-SA"/>
            </w:rPr>
            <w:t>Клинцы и г. Сельцо</w:t>
          </w:r>
          <w:r>
            <w:rPr>
              <w:rFonts w:cs="Calibri"/>
              <w:color w:val="000000"/>
              <w:lang w:eastAsia="ar-SA"/>
            </w:rPr>
            <w:t xml:space="preserve"> отсутствуют муниципальные учреждения </w:t>
          </w:r>
          <w:r>
            <w:rPr>
              <w:rFonts w:cs="Calibri"/>
              <w:color w:val="000000"/>
              <w:lang w:eastAsia="ar-SA"/>
            </w:rPr>
            <w:t>культуры, здания которых находятся в аварийном с</w:t>
          </w:r>
          <w:r>
            <w:rPr>
              <w:rFonts w:cs="Calibri"/>
              <w:color w:val="000000"/>
              <w:lang w:eastAsia="ar-SA"/>
            </w:rPr>
            <w:t xml:space="preserve">остоянии или требуют капитального ремонта. В городском округе г. Брянск показатель уменьшился к уровню 2022 года на 4,75 п.п, в городском округе г. Фокино — увеличился на 30,0 п.п.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cs="Calibri"/>
              <w:color w:val="000000"/>
              <w:lang w:eastAsia="ar-SA"/>
            </w:rPr>
            <w:t xml:space="preserve">В группе </w:t>
          </w:r>
          <w:r>
            <w:rPr>
              <w:rFonts w:eastAsia="Calibri" w:cs="Calibri"/>
              <w:color w:val="000000"/>
              <w:lang w:eastAsia="ar-SA"/>
            </w:rPr>
            <w:t>муниципальных районов здания, требующие капитального ремонта, отс</w:t>
          </w:r>
          <w:r>
            <w:rPr>
              <w:rFonts w:eastAsia="Calibri" w:cs="Calibri"/>
              <w:color w:val="000000"/>
              <w:lang w:eastAsia="ar-SA"/>
            </w:rPr>
            <w:t xml:space="preserve">утствуют в </w:t>
          </w:r>
          <w:r>
            <w:rPr>
              <w:rFonts w:eastAsia="Calibri" w:cs="Calibri"/>
              <w:color w:val="000000"/>
              <w:lang w:eastAsia="ar-SA"/>
            </w:rPr>
            <w:t>Брасовском</w:t>
          </w:r>
          <w:r>
            <w:rPr>
              <w:rFonts w:eastAsia="Calibri" w:cs="Calibri"/>
              <w:color w:val="000000"/>
              <w:lang w:eastAsia="ar-SA"/>
            </w:rPr>
            <w:t xml:space="preserve">, </w:t>
          </w:r>
          <w:r>
            <w:rPr>
              <w:rFonts w:eastAsia="Calibri" w:cs="Calibri"/>
              <w:color w:val="000000"/>
              <w:lang w:eastAsia="ar-SA"/>
            </w:rPr>
            <w:t>Выгоничском</w:t>
          </w:r>
          <w:r>
            <w:rPr>
              <w:rFonts w:eastAsia="Calibri" w:cs="Calibri"/>
              <w:color w:val="000000"/>
              <w:lang w:eastAsia="ar-SA"/>
            </w:rPr>
            <w:t xml:space="preserve">, Гордеевском, Жирятинском, Злынковском, Карачевском, </w:t>
          </w:r>
          <w:r>
            <w:rPr>
              <w:rFonts w:eastAsia="Calibri" w:cs="Calibri"/>
              <w:color w:val="000000"/>
              <w:lang w:eastAsia="ar-SA"/>
            </w:rPr>
            <w:t>Рогнединском, Севском, Унечском</w:t>
          </w:r>
          <w:r>
            <w:rPr>
              <w:rFonts w:eastAsia="Calibri" w:cs="Calibri"/>
              <w:color w:val="000000"/>
              <w:lang w:eastAsia="ar-SA"/>
            </w:rPr>
            <w:t xml:space="preserve"> муниципальных районах, а также в</w:t>
          </w:r>
          <w:r>
            <w:rPr>
              <w:rFonts w:eastAsia="Calibri" w:cs="Calibri"/>
              <w:color w:val="FFFF00"/>
              <w:lang w:eastAsia="ar-SA"/>
            </w:rPr>
            <w:t xml:space="preserve"> </w:t>
          </w:r>
          <w:r>
            <w:rPr>
              <w:rFonts w:eastAsia="Calibri" w:cs="Calibri"/>
              <w:color w:val="000000"/>
              <w:lang w:eastAsia="ar-SA"/>
            </w:rPr>
            <w:t>Жуковском и Стародубском муниципальных округах. Наименьшее количество зданий, требующих капитального ре</w:t>
          </w:r>
          <w:r>
            <w:rPr>
              <w:rFonts w:eastAsia="Calibri" w:cs="Calibri"/>
              <w:color w:val="000000"/>
              <w:lang w:eastAsia="ar-SA"/>
            </w:rPr>
            <w:t xml:space="preserve">монта – в  </w:t>
          </w:r>
          <w:r>
            <w:rPr>
              <w:rFonts w:eastAsia="Calibri" w:cs="Calibri"/>
              <w:color w:val="000000"/>
              <w:lang w:eastAsia="ar-SA"/>
            </w:rPr>
            <w:t>Погарском (1,0%), Мглинском</w:t>
          </w:r>
          <w:r>
            <w:rPr>
              <w:rFonts w:eastAsia="Calibri" w:cs="Calibri"/>
              <w:color w:val="000000"/>
              <w:lang w:eastAsia="ar-SA"/>
            </w:rPr>
            <w:t xml:space="preserve"> (</w:t>
          </w:r>
          <w:r>
            <w:rPr>
              <w:rFonts w:eastAsia="Calibri" w:cs="Calibri"/>
              <w:color w:val="000000"/>
              <w:lang w:eastAsia="ar-SA"/>
            </w:rPr>
            <w:t>2,56</w:t>
          </w:r>
          <w:r>
            <w:rPr>
              <w:rFonts w:eastAsia="Calibri" w:cs="Calibri"/>
              <w:color w:val="000000"/>
              <w:lang w:eastAsia="ar-SA"/>
            </w:rPr>
            <w:t xml:space="preserve">%), </w:t>
          </w:r>
          <w:r>
            <w:rPr>
              <w:rFonts w:eastAsia="Calibri" w:cs="Calibri"/>
              <w:color w:val="000000"/>
              <w:lang w:eastAsia="ar-SA"/>
            </w:rPr>
            <w:t xml:space="preserve">Суражском (3,12%) </w:t>
          </w:r>
          <w:r>
            <w:rPr>
              <w:rFonts w:eastAsia="Calibri" w:cs="Calibri"/>
              <w:color w:val="000000"/>
              <w:lang w:eastAsia="ar-SA"/>
            </w:rPr>
            <w:t>муниципальных районах.</w:t>
          </w:r>
        </w:p>
        <w:p w:rsidR="008E239A" w:rsidRDefault="008E239A">
          <w:pPr>
            <w:suppressAutoHyphens/>
            <w:ind w:firstLine="709"/>
            <w:jc w:val="both"/>
            <w:rPr>
              <w:rFonts w:eastAsia="Calibri" w:cs="Calibri"/>
              <w:color w:val="000000"/>
              <w:lang w:eastAsia="ar-SA"/>
            </w:rPr>
          </w:pPr>
        </w:p>
        <w:p w:rsidR="008E239A" w:rsidRDefault="00D61E62">
          <w:pPr>
            <w:pStyle w:val="21"/>
            <w:suppressAutoHyphens/>
            <w:spacing w:after="0" w:line="240" w:lineRule="auto"/>
            <w:ind w:left="0" w:firstLine="709"/>
            <w:jc w:val="both"/>
          </w:pPr>
          <w:r>
            <w:rPr>
              <w:b/>
            </w:rPr>
            <w:t>22. Доля объектов культурного наследия, находящихся в муниципальной собственности и требующих консервации или реставрации, в общем количестве объектов культурного нас</w:t>
          </w:r>
          <w:r>
            <w:rPr>
              <w:b/>
            </w:rPr>
            <w:t>ледия, находящихся в муниципальной собственности (процентов)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По состоянию на 31.12.2023 года на территории Брянской области расположено </w:t>
          </w:r>
          <w:r>
            <w:rPr>
              <w:rFonts w:eastAsia="MS Mincho;ＭＳ 明朝"/>
              <w:color w:val="000000"/>
              <w:lang w:eastAsia="ja-JP"/>
            </w:rPr>
            <w:t xml:space="preserve">2273 </w:t>
          </w:r>
          <w:r>
            <w:t xml:space="preserve">объекта культурного наследия, зарегистрированных в едином государственном реестре объектов культурного наследия, </w:t>
          </w:r>
          <w:r>
            <w:rPr>
              <w:rFonts w:eastAsia="MS Mincho;ＭＳ 明朝"/>
              <w:color w:val="000000"/>
              <w:lang w:eastAsia="ja-JP"/>
            </w:rPr>
            <w:t xml:space="preserve">в </w:t>
          </w:r>
          <w:r>
            <w:rPr>
              <w:rFonts w:eastAsia="MS Mincho;ＭＳ 明朝"/>
              <w:color w:val="000000"/>
              <w:lang w:eastAsia="ja-JP"/>
            </w:rPr>
            <w:t>том числе</w:t>
          </w:r>
          <w:r>
            <w:t xml:space="preserve"> 595 объектов – федерального значения, 1623 объекта – регионального значения, 55 объектов - местного (муниципального) значения.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color w:val="000000"/>
            </w:rPr>
            <w:t>На основании заключенного контракта на 2022-2023 годы в</w:t>
          </w:r>
          <w:r>
            <w:rPr>
              <w:rFonts w:eastAsia="Calibri"/>
            </w:rPr>
            <w:t xml:space="preserve"> 2023 году разработана научно-проектная документация </w:t>
          </w:r>
          <w:r>
            <w:rPr>
              <w:rFonts w:eastAsia="Calibri"/>
              <w:color w:val="000000"/>
            </w:rPr>
            <w:t>на</w:t>
          </w:r>
          <w:r>
            <w:rPr>
              <w:rFonts w:eastAsia="Calibri"/>
            </w:rPr>
            <w:t xml:space="preserve"> проведен</w:t>
          </w:r>
          <w:r>
            <w:rPr>
              <w:rFonts w:eastAsia="Calibri"/>
            </w:rPr>
            <w:t xml:space="preserve">ие работ </w:t>
          </w:r>
          <w:r>
            <w:rPr>
              <w:rFonts w:eastAsia="Calibri"/>
              <w:color w:val="000000"/>
            </w:rPr>
            <w:t>по сохранению</w:t>
          </w:r>
          <w:r>
            <w:rPr>
              <w:rFonts w:eastAsia="Calibri"/>
            </w:rPr>
            <w:t xml:space="preserve"> объекта культурного наследия регионального значения «Здание мужской гимназии», расположенного по адресу: Брянская область, Стародубский </w:t>
          </w:r>
          <w:r>
            <w:rPr>
              <w:rFonts w:eastAsia="Calibri"/>
              <w:color w:val="000000"/>
            </w:rPr>
            <w:t>муниципальный округ</w:t>
          </w:r>
          <w:r>
            <w:rPr>
              <w:rFonts w:eastAsia="Calibri"/>
            </w:rPr>
            <w:t>, ул. Калинина, д. 15. С целью обеспечения сохранности  объекта культурного на</w:t>
          </w:r>
          <w:r>
            <w:rPr>
              <w:rFonts w:eastAsia="Calibri"/>
            </w:rPr>
            <w:t xml:space="preserve">следия регионального значения «Особняк с лучковым аттиком», расположенного по адресу: г. Брянск, ул. Майской Стачки, д. 3 и поддержания объекта в эксплуатационном состоянии проведены ремонтные работы фасадов объекта.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</w:rPr>
            <w:t xml:space="preserve">Разработана проектная документация на </w:t>
          </w:r>
          <w:r>
            <w:rPr>
              <w:rFonts w:eastAsia="Calibri"/>
            </w:rPr>
            <w:t>проведение ремонтных работ фасадов объекта культурного наследия регионального значения «Колокольня Успенского монастыря с курантами», расположенного по адресу: Брянская область, Севский муниципальный район, г. Севск, пл. Революции.</w:t>
          </w:r>
        </w:p>
        <w:p w:rsidR="008E239A" w:rsidRDefault="00D61E62">
          <w:pPr>
            <w:shd w:val="clear" w:color="auto" w:fill="FFFFFF"/>
            <w:suppressAutoHyphens/>
            <w:ind w:firstLine="709"/>
            <w:jc w:val="both"/>
          </w:pPr>
          <w:r>
            <w:rPr>
              <w:rStyle w:val="cs51e4b11d"/>
              <w:rFonts w:eastAsia="Calibri"/>
              <w:color w:val="000000"/>
            </w:rPr>
            <w:t>В 2023 году осуществлена</w:t>
          </w:r>
          <w:r>
            <w:rPr>
              <w:rStyle w:val="cs51e4b11d"/>
              <w:rFonts w:eastAsia="Calibri"/>
              <w:color w:val="000000"/>
            </w:rPr>
            <w:t xml:space="preserve"> разработка проектной документации для обоснования включения в единый государственный реестр объектов культурного наследия 22-х выявленных объектов культурного наследия, находящихся в границах территории объекта культурного наследия федерального значения —</w:t>
          </w:r>
          <w:r>
            <w:rPr>
              <w:rStyle w:val="cs51e4b11d"/>
              <w:rFonts w:eastAsia="Calibri"/>
              <w:color w:val="000000"/>
            </w:rPr>
            <w:t xml:space="preserve"> мемориальный комплекс жертв-узников фашистского контрационного лагеря «ДУЛАГ-142» с массовыми захоронениями мирных граждан и военнопленных (1941-1943 годы) в городе Брянске, расположенного по адресу: Брянская область, г. Брянск, бульвар Щорса. Подготовлен</w:t>
          </w:r>
          <w:r>
            <w:rPr>
              <w:rStyle w:val="cs51e4b11d"/>
              <w:rFonts w:eastAsia="Calibri"/>
              <w:color w:val="000000"/>
            </w:rPr>
            <w:t xml:space="preserve">а землеустроительная документация в </w:t>
          </w:r>
          <w:r>
            <w:rPr>
              <w:rStyle w:val="cs51e4b11d"/>
              <w:rFonts w:eastAsia="Calibri"/>
              <w:color w:val="000000"/>
            </w:rPr>
            <w:lastRenderedPageBreak/>
            <w:t>целях внесения в единый государственный реестр недвижимости сведений о границах территории данного объекта культурного наследия федерального значения. Также проведены работы по разработке проектной документации, необходи</w:t>
          </w:r>
          <w:r>
            <w:rPr>
              <w:rStyle w:val="cs51e4b11d"/>
              <w:rFonts w:eastAsia="Calibri"/>
              <w:color w:val="000000"/>
            </w:rPr>
            <w:t>мой для обоснования включения в единый государственный реестр объектов культурного наследия  (памятников истории и культуры) народов Российской Федерации выявленного объекта культурного наследия «Лесные сараи» - место массового расстрела и захоронения сове</w:t>
          </w:r>
          <w:r>
            <w:rPr>
              <w:rStyle w:val="cs51e4b11d"/>
              <w:rFonts w:eastAsia="Calibri"/>
              <w:color w:val="000000"/>
            </w:rPr>
            <w:t xml:space="preserve">тских граждан в 1941-1942 годах, расположенного по </w:t>
          </w:r>
          <w:r>
            <w:rPr>
              <w:rStyle w:val="cs51e4b11d"/>
              <w:rFonts w:eastAsia="Calibri"/>
              <w:color w:val="000000"/>
            </w:rPr>
            <w:t>ул. Дуки в г. Брянске.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Style w:val="cs51e4b11d"/>
              <w:rFonts w:eastAsia="Calibri"/>
            </w:rPr>
            <w:t xml:space="preserve">В 2023 году показатель доля объектов культурного наследия, находящихся в муниципальной собственности и требующих консервации или реставрации, в общем количестве объектов культурного </w:t>
          </w:r>
          <w:r>
            <w:rPr>
              <w:rStyle w:val="cs51e4b11d"/>
              <w:rFonts w:eastAsia="Calibri"/>
            </w:rPr>
            <w:t xml:space="preserve">наследия, находящихся в муниципальной собственности, уменьшился </w:t>
          </w:r>
          <w:r>
            <w:rPr>
              <w:rStyle w:val="cs51e4b11d"/>
              <w:rFonts w:eastAsia="Calibri"/>
              <w:color w:val="000000"/>
            </w:rPr>
            <w:t>к уровню 2022</w:t>
          </w:r>
          <w:r>
            <w:rPr>
              <w:rStyle w:val="cs51e4b11d"/>
              <w:rFonts w:eastAsia="Calibri"/>
            </w:rPr>
            <w:t xml:space="preserve"> года на </w:t>
          </w:r>
          <w:r>
            <w:rPr>
              <w:rStyle w:val="cs51e4b11d"/>
              <w:rFonts w:eastAsia="Calibri"/>
              <w:color w:val="000000"/>
            </w:rPr>
            <w:t>7,5</w:t>
          </w:r>
          <w:r>
            <w:rPr>
              <w:rStyle w:val="cs51e4b11d"/>
              <w:rFonts w:eastAsia="Calibri"/>
            </w:rPr>
            <w:t xml:space="preserve"> п.п. и в среднем по </w:t>
          </w:r>
          <w:r>
            <w:rPr>
              <w:rStyle w:val="cs51e4b11d"/>
              <w:rFonts w:eastAsia="Calibri"/>
              <w:color w:val="000000"/>
            </w:rPr>
            <w:t>Брянской области</w:t>
          </w:r>
          <w:r>
            <w:rPr>
              <w:rStyle w:val="cs51e4b11d"/>
              <w:rFonts w:eastAsia="Calibri"/>
            </w:rPr>
            <w:t xml:space="preserve"> составил </w:t>
          </w:r>
          <w:r>
            <w:rPr>
              <w:rStyle w:val="cs51e4b11d"/>
              <w:rFonts w:eastAsia="Calibri"/>
              <w:color w:val="000000"/>
            </w:rPr>
            <w:t>7,67</w:t>
          </w:r>
          <w:r>
            <w:rPr>
              <w:rStyle w:val="cs51e4b11d"/>
              <w:rFonts w:eastAsia="Calibri"/>
            </w:rPr>
            <w:t>%.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Анализируемый показатель за 2023 год в среднем по городским округам  составил 18,14%. В удовлетворительном состоянии (0%) находятся объекты </w:t>
          </w:r>
          <w:r>
            <w:rPr>
              <w:color w:val="000000"/>
            </w:rPr>
            <w:t>культурного наследия</w:t>
          </w:r>
          <w:r>
            <w:t xml:space="preserve"> (ОКН) в городских округах г. Клинцы, г. Сельцо, г.Фокино. В городском округе г. Брянск </w:t>
          </w:r>
          <w:r>
            <w:rPr>
              <w:color w:val="000000"/>
            </w:rPr>
            <w:t>д</w:t>
          </w:r>
          <w:r>
            <w:t>оля объ</w:t>
          </w:r>
          <w:r>
            <w:t>ектов культурного наследия, находящихся в муниципальной собственности и требующих консервации или реставрации, в общем количестве объектов культурного наследия, находящихся в муниципальной собственности, уменьшилась на 3,3 п.п. к уровню 2022 года и состави</w:t>
          </w:r>
          <w:r>
            <w:t xml:space="preserve">ла </w:t>
          </w:r>
          <w:r>
            <w:rPr>
              <w:color w:val="000000"/>
            </w:rPr>
            <w:t>15,7</w:t>
          </w:r>
          <w:r>
            <w:t xml:space="preserve">%, в г. </w:t>
          </w:r>
          <w:r>
            <w:rPr>
              <w:color w:val="000000"/>
            </w:rPr>
            <w:t>Новозыбкове — осталась на уровне 2022 года и составила 75,0%.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Style w:val="cs51e4b11d"/>
              <w:rFonts w:eastAsia="Calibri"/>
            </w:rPr>
            <w:t xml:space="preserve">Анализируемый показатель в среднем по муниципальным районам за 2023 год составил </w:t>
          </w:r>
          <w:r>
            <w:rPr>
              <w:rStyle w:val="cs51e4b11d"/>
              <w:rFonts w:eastAsia="Calibri"/>
              <w:color w:val="000000"/>
            </w:rPr>
            <w:t>5,66</w:t>
          </w:r>
          <w:r>
            <w:rPr>
              <w:rStyle w:val="cs51e4b11d"/>
              <w:rFonts w:eastAsia="Calibri"/>
            </w:rPr>
            <w:t xml:space="preserve">%. </w:t>
          </w:r>
          <w:r>
            <w:t xml:space="preserve">На территории </w:t>
          </w:r>
          <w:r>
            <w:rPr>
              <w:color w:val="000000"/>
            </w:rPr>
            <w:t>10</w:t>
          </w:r>
          <w:r>
            <w:t xml:space="preserve"> муниципальных районов (в </w:t>
          </w:r>
          <w:r>
            <w:rPr>
              <w:color w:val="000000"/>
            </w:rPr>
            <w:t>Выгоничском, Дятьковском, Злынковском, Карачевско</w:t>
          </w:r>
          <w:r>
            <w:rPr>
              <w:color w:val="000000"/>
            </w:rPr>
            <w:t>м, Комаричском, Погарском, Почепском, Севском, Стародубском, Трубчевском</w:t>
          </w:r>
          <w:r>
            <w:t xml:space="preserve">) находятся ОКН, требующие консервации или реставрации. При этом их процент колеблется от </w:t>
          </w:r>
          <w:r>
            <w:rPr>
              <w:color w:val="000000"/>
            </w:rPr>
            <w:t>1,0</w:t>
          </w:r>
          <w:r>
            <w:t>% (</w:t>
          </w:r>
          <w:r>
            <w:rPr>
              <w:color w:val="000000"/>
            </w:rPr>
            <w:t>Погарский муниципальный район</w:t>
          </w:r>
          <w:r>
            <w:t xml:space="preserve">) до </w:t>
          </w:r>
          <w:r>
            <w:rPr>
              <w:color w:val="000000"/>
            </w:rPr>
            <w:t xml:space="preserve">50,0% </w:t>
          </w:r>
          <w:r>
            <w:t>(</w:t>
          </w:r>
          <w:r>
            <w:rPr>
              <w:color w:val="000000"/>
            </w:rPr>
            <w:t>Злынковский муниципальный район</w:t>
          </w:r>
          <w:r>
            <w:t>). В удовлетвори</w:t>
          </w:r>
          <w:r>
            <w:t xml:space="preserve">тельном состоянии (0%) находятся объекты </w:t>
          </w:r>
          <w:r>
            <w:rPr>
              <w:color w:val="000000"/>
            </w:rPr>
            <w:t>культурного наследия</w:t>
          </w:r>
          <w:r>
            <w:t xml:space="preserve"> в 16 муниципальных районах.</w:t>
          </w:r>
        </w:p>
        <w:p w:rsidR="008E239A" w:rsidRDefault="008E239A">
          <w:pPr>
            <w:shd w:val="clear" w:color="auto" w:fill="FFFFFF"/>
            <w:suppressAutoHyphens/>
            <w:jc w:val="center"/>
          </w:pPr>
        </w:p>
        <w:p w:rsidR="008E239A" w:rsidRDefault="00D61E62">
          <w:pPr>
            <w:suppressAutoHyphens/>
            <w:jc w:val="center"/>
          </w:pPr>
          <w:r>
            <w:rPr>
              <w:u w:val="single"/>
            </w:rPr>
            <w:t xml:space="preserve">Перечень мероприятий по повышению результативности деятельности органов местного самоуправления городских округов и муниципальных районов </w:t>
          </w:r>
        </w:p>
        <w:p w:rsidR="008E239A" w:rsidRDefault="00D61E62">
          <w:pPr>
            <w:suppressAutoHyphens/>
            <w:jc w:val="center"/>
          </w:pPr>
          <w:r>
            <w:rPr>
              <w:u w:val="single"/>
            </w:rPr>
            <w:t>в сфере «Культура»</w:t>
          </w:r>
        </w:p>
        <w:p w:rsidR="008E239A" w:rsidRDefault="008E239A">
          <w:pPr>
            <w:suppressAutoHyphens/>
            <w:jc w:val="center"/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color w:val="000000"/>
            </w:rPr>
            <w:t xml:space="preserve">1. </w:t>
          </w:r>
          <w:r>
            <w:rPr>
              <w:color w:val="000000"/>
            </w:rPr>
            <w:t>Повышение качества предоставляемых услуг населению за счет совершенствования материально-технической базы.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color w:val="000000"/>
              <w:lang w:eastAsia="ar-SA"/>
            </w:rPr>
            <w:t>2. Проведение мероприятий, направленных на приведение зданий муниципальных учреждений культуры в нормативное состояние.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color w:val="000000"/>
              <w:lang w:eastAsia="ar-SA"/>
            </w:rPr>
            <w:t>3. О</w:t>
          </w:r>
          <w:r>
            <w:rPr>
              <w:color w:val="000000"/>
            </w:rPr>
            <w:t xml:space="preserve">существление мониторинга </w:t>
          </w:r>
          <w:r>
            <w:rPr>
              <w:color w:val="000000"/>
            </w:rPr>
            <w:t>удовлетворенности получателей услуг качеством предоставляемых услуг</w:t>
          </w:r>
          <w:r>
            <w:rPr>
              <w:rFonts w:eastAsia="Calibri"/>
              <w:color w:val="000000"/>
              <w:lang w:eastAsia="ar-SA"/>
            </w:rPr>
            <w:t>.</w:t>
          </w:r>
        </w:p>
        <w:p w:rsidR="008E239A" w:rsidRDefault="008E239A">
          <w:pPr>
            <w:ind w:firstLine="708"/>
            <w:jc w:val="both"/>
            <w:rPr>
              <w:rFonts w:eastAsia="Calibri"/>
              <w:color w:val="000000"/>
              <w:lang w:eastAsia="ar-SA"/>
            </w:rPr>
          </w:pPr>
        </w:p>
        <w:p w:rsidR="008E239A" w:rsidRDefault="00D61E62">
          <w:pPr>
            <w:pStyle w:val="aff7"/>
            <w:suppressAutoHyphens/>
            <w:spacing w:before="120" w:after="120" w:line="240" w:lineRule="auto"/>
            <w:ind w:left="0"/>
            <w:jc w:val="center"/>
          </w:pPr>
          <w:r>
            <w:rPr>
              <w:rFonts w:ascii="Times New Roman" w:hAnsi="Times New Roman"/>
              <w:b/>
              <w:sz w:val="28"/>
              <w:szCs w:val="28"/>
            </w:rPr>
            <w:t>5. ФИЗИЧЕСКАЯ КУЛЬТУРА И СПОРТ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</w:rPr>
            <w:t xml:space="preserve">В Брянской области строятся новые спортивные объекты: ледовые дворцы, физкультурно-оздоровительные комплексы с бассейнами, стадионы, спортивные площадки, которые оснащаются современным оборудованием. Сильнейшим </w:t>
          </w:r>
          <w:r>
            <w:rPr>
              <w:rFonts w:eastAsia="Calibri"/>
            </w:rPr>
            <w:lastRenderedPageBreak/>
            <w:t xml:space="preserve">спортсменам и тренерам выплачиваются именные </w:t>
          </w:r>
          <w:r>
            <w:rPr>
              <w:rFonts w:eastAsia="Calibri"/>
            </w:rPr>
            <w:t xml:space="preserve">стипендии и разовые поощрения. Для закрепления профессиональных кадров приобретается служебное жилье.  </w:t>
          </w:r>
        </w:p>
        <w:p w:rsidR="008E239A" w:rsidRDefault="00D61E62">
          <w:pPr>
            <w:widowControl w:val="0"/>
            <w:shd w:val="clear" w:color="auto" w:fill="FFFFFF"/>
            <w:suppressAutoHyphens/>
            <w:ind w:firstLine="709"/>
            <w:jc w:val="both"/>
          </w:pPr>
          <w:r>
            <w:rPr>
              <w:bCs/>
            </w:rPr>
            <w:t>В 2023 году завершено строительство и капитальный ремонт следующих объектов:</w:t>
          </w:r>
        </w:p>
        <w:p w:rsidR="008E239A" w:rsidRDefault="00D61E62">
          <w:pPr>
            <w:widowControl w:val="0"/>
            <w:shd w:val="clear" w:color="auto" w:fill="FFFFFF"/>
            <w:suppressAutoHyphens/>
            <w:ind w:firstLine="709"/>
            <w:jc w:val="both"/>
          </w:pPr>
          <w:r>
            <w:rPr>
              <w:bCs/>
            </w:rPr>
            <w:t>спортивно-оздоровительный комплекс в Бежицком районе г. Брянска;</w:t>
          </w:r>
        </w:p>
        <w:p w:rsidR="008E239A" w:rsidRDefault="00D61E62">
          <w:pPr>
            <w:widowControl w:val="0"/>
            <w:shd w:val="clear" w:color="auto" w:fill="FFFFFF"/>
            <w:suppressAutoHyphens/>
            <w:ind w:firstLine="709"/>
            <w:jc w:val="both"/>
          </w:pPr>
          <w:r>
            <w:rPr>
              <w:bCs/>
            </w:rPr>
            <w:t>крытый фут</w:t>
          </w:r>
          <w:r>
            <w:rPr>
              <w:bCs/>
            </w:rPr>
            <w:t>больный манеж для ГБУ БО СШ по футболу «Динамо-Брянск»;</w:t>
          </w:r>
        </w:p>
        <w:p w:rsidR="008E239A" w:rsidRDefault="00D61E62">
          <w:pPr>
            <w:widowControl w:val="0"/>
            <w:shd w:val="clear" w:color="auto" w:fill="FFFFFF"/>
            <w:suppressAutoHyphens/>
            <w:ind w:firstLine="709"/>
            <w:jc w:val="both"/>
          </w:pPr>
          <w:r>
            <w:rPr>
              <w:bCs/>
            </w:rPr>
            <w:t>физкультурно-оздоровительный комплекс в н.п. Выгоничи»;</w:t>
          </w:r>
        </w:p>
        <w:p w:rsidR="008E239A" w:rsidRDefault="00D61E62">
          <w:pPr>
            <w:widowControl w:val="0"/>
            <w:shd w:val="clear" w:color="auto" w:fill="FFFFFF"/>
            <w:suppressAutoHyphens/>
            <w:ind w:firstLine="709"/>
            <w:jc w:val="both"/>
          </w:pPr>
          <w:r>
            <w:rPr>
              <w:bCs/>
            </w:rPr>
            <w:t xml:space="preserve">футбольный стадион «Камвольщик» в Бежицком районе г. Брянска. </w:t>
          </w:r>
        </w:p>
        <w:p w:rsidR="008E239A" w:rsidRDefault="00D61E62">
          <w:pPr>
            <w:widowControl w:val="0"/>
            <w:shd w:val="clear" w:color="auto" w:fill="FFFFFF"/>
            <w:suppressAutoHyphens/>
            <w:ind w:firstLine="709"/>
            <w:jc w:val="both"/>
          </w:pPr>
          <w:r>
            <w:rPr>
              <w:bCs/>
            </w:rPr>
            <w:t>Начата реконструкция ледового дворца «Пересвет» г. Брянск.</w:t>
          </w:r>
        </w:p>
        <w:p w:rsidR="008E239A" w:rsidRDefault="00D61E62">
          <w:pPr>
            <w:widowControl w:val="0"/>
            <w:shd w:val="clear" w:color="auto" w:fill="FFFFFF"/>
            <w:suppressAutoHyphens/>
            <w:ind w:firstLine="709"/>
            <w:jc w:val="both"/>
          </w:pPr>
          <w:r>
            <w:rPr>
              <w:bCs/>
            </w:rPr>
            <w:t>В декабре 2023 года за</w:t>
          </w:r>
          <w:r>
            <w:rPr>
              <w:bCs/>
            </w:rPr>
            <w:t xml:space="preserve"> счет средств регионального бюджета приступили к строительству трех объектов:</w:t>
          </w:r>
        </w:p>
        <w:p w:rsidR="008E239A" w:rsidRDefault="00D61E62">
          <w:pPr>
            <w:widowControl w:val="0"/>
            <w:shd w:val="clear" w:color="auto" w:fill="FFFFFF"/>
            <w:suppressAutoHyphens/>
            <w:ind w:firstLine="709"/>
            <w:jc w:val="both"/>
          </w:pPr>
          <w:r>
            <w:rPr>
              <w:bCs/>
            </w:rPr>
            <w:t>«Дворец зимних видов спорта в Фокинском районе города Брянска»;</w:t>
          </w:r>
        </w:p>
        <w:p w:rsidR="008E239A" w:rsidRDefault="00D61E62">
          <w:pPr>
            <w:widowControl w:val="0"/>
            <w:shd w:val="clear" w:color="auto" w:fill="FFFFFF"/>
            <w:suppressAutoHyphens/>
            <w:ind w:firstLine="709"/>
            <w:jc w:val="both"/>
          </w:pPr>
          <w:r>
            <w:rPr>
              <w:bCs/>
            </w:rPr>
            <w:t>«Спортивно-оздоровительный комплекс с бассейном в п. Локоть»;</w:t>
          </w:r>
        </w:p>
        <w:p w:rsidR="008E239A" w:rsidRDefault="00D61E62">
          <w:pPr>
            <w:widowControl w:val="0"/>
            <w:shd w:val="clear" w:color="auto" w:fill="FFFFFF"/>
            <w:suppressAutoHyphens/>
            <w:ind w:firstLine="709"/>
            <w:jc w:val="both"/>
          </w:pPr>
          <w:r>
            <w:rPr>
              <w:bCs/>
            </w:rPr>
            <w:t>«Спортивно-оздоровительный комплекс с бассейном в г.</w:t>
          </w:r>
          <w:r>
            <w:rPr>
              <w:bCs/>
            </w:rPr>
            <w:t xml:space="preserve"> Стародубе».</w:t>
          </w:r>
        </w:p>
        <w:p w:rsidR="008E239A" w:rsidRDefault="00D61E62">
          <w:pPr>
            <w:widowControl w:val="0"/>
            <w:shd w:val="clear" w:color="auto" w:fill="FFFFFF"/>
            <w:suppressAutoHyphens/>
            <w:ind w:firstLine="709"/>
            <w:jc w:val="both"/>
          </w:pPr>
          <w:r>
            <w:rPr>
              <w:bCs/>
            </w:rPr>
            <w:t xml:space="preserve">Созданы </w:t>
          </w:r>
          <w:r>
            <w:rPr>
              <w:bCs/>
              <w:color w:val="000000"/>
              <w:lang w:eastAsia="ja-JP"/>
            </w:rPr>
            <w:t>четыре</w:t>
          </w:r>
          <w:r>
            <w:rPr>
              <w:bCs/>
            </w:rPr>
            <w:t xml:space="preserve"> малые спортивные площадки ГТО в Новозыбковском городском округе, в Мглинском, Суражском и Трубчевском муниципальных районах.</w:t>
          </w:r>
        </w:p>
        <w:p w:rsidR="008E239A" w:rsidRDefault="00D61E62">
          <w:pPr>
            <w:widowControl w:val="0"/>
            <w:shd w:val="clear" w:color="auto" w:fill="FFFFFF"/>
            <w:suppressAutoHyphens/>
            <w:ind w:firstLine="709"/>
            <w:jc w:val="both"/>
          </w:pPr>
          <w:r>
            <w:rPr>
              <w:bCs/>
            </w:rPr>
            <w:t>В 2023 году в рамках государственной программы «Развитие физической культуры и спорта Брянской области»</w:t>
          </w:r>
          <w:r>
            <w:rPr>
              <w:bCs/>
            </w:rPr>
            <w:t xml:space="preserve"> за счет средств областного бюджета построен и введен в эксплуатацию «Спортивно-оздоровительный комплекс в Бежицком районе г. Брянска».</w:t>
          </w:r>
        </w:p>
        <w:p w:rsidR="008E239A" w:rsidRDefault="00D61E62">
          <w:pPr>
            <w:widowControl w:val="0"/>
            <w:shd w:val="clear" w:color="auto" w:fill="FFFFFF"/>
            <w:suppressAutoHyphens/>
            <w:ind w:firstLine="709"/>
            <w:jc w:val="both"/>
          </w:pPr>
          <w:r>
            <w:rPr>
              <w:bCs/>
            </w:rPr>
            <w:t>В рамках федерального проекта «Бизнес-спринт (Я выбираю спорт)» в 2023 году создана «умная» спортивная площадка в пгт. К</w:t>
          </w:r>
          <w:r>
            <w:rPr>
              <w:bCs/>
            </w:rPr>
            <w:t xml:space="preserve">лимово. </w:t>
          </w:r>
        </w:p>
        <w:p w:rsidR="008E239A" w:rsidRDefault="008E239A">
          <w:pPr>
            <w:widowControl w:val="0"/>
            <w:shd w:val="clear" w:color="auto" w:fill="FFFFFF"/>
            <w:suppressAutoHyphens/>
            <w:ind w:firstLine="709"/>
            <w:jc w:val="both"/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b/>
            </w:rPr>
            <w:t>23. Доля населения, систематически занимающегося физической  культурой и спортом (процентов)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color w:val="000000"/>
            </w:rPr>
            <w:t>Показатель в целом по области имеет тенденцию к росту. В целом по области в 2023 году значение показателя составило 33,55%.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color w:val="000000"/>
            </w:rPr>
            <w:t>Наибольшие значения показател</w:t>
          </w:r>
          <w:r>
            <w:rPr>
              <w:rFonts w:eastAsia="Calibri"/>
              <w:color w:val="000000"/>
            </w:rPr>
            <w:t>я в группе</w:t>
          </w:r>
          <w:r>
            <w:rPr>
              <w:rFonts w:eastAsia="Calibri"/>
            </w:rPr>
            <w:t xml:space="preserve"> городских округов </w:t>
          </w:r>
          <w:r>
            <w:rPr>
              <w:rFonts w:eastAsia="Calibri"/>
              <w:color w:val="000000"/>
            </w:rPr>
            <w:t>достигнуты</w:t>
          </w:r>
          <w:r>
            <w:rPr>
              <w:rFonts w:eastAsia="Calibri"/>
            </w:rPr>
            <w:t xml:space="preserve"> </w:t>
          </w:r>
          <w:r>
            <w:rPr>
              <w:rFonts w:eastAsia="Calibri"/>
              <w:color w:val="000000"/>
            </w:rPr>
            <w:t>в г.Брянске (43,8%), г. Новозыбкове (42,71%), г.Клинцы (36,6%);</w:t>
          </w:r>
          <w:r>
            <w:rPr>
              <w:rFonts w:eastAsia="Calibri"/>
            </w:rPr>
            <w:t xml:space="preserve"> в группе муниципальных районов — в Трубчевском (52,11%), Жирятинском (48,19%), Брянском (45,63%) районах.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</w:rPr>
            <w:t xml:space="preserve">Наименьшие значения показателя отмечены </w:t>
          </w:r>
          <w:r>
            <w:rPr>
              <w:rFonts w:eastAsia="Calibri"/>
              <w:color w:val="000000"/>
            </w:rPr>
            <w:t>в гру</w:t>
          </w:r>
          <w:r>
            <w:rPr>
              <w:rFonts w:eastAsia="Calibri"/>
              <w:color w:val="000000"/>
            </w:rPr>
            <w:t>ппе</w:t>
          </w:r>
          <w:r>
            <w:rPr>
              <w:rFonts w:eastAsia="Calibri"/>
            </w:rPr>
            <w:t xml:space="preserve"> городских округов - в </w:t>
          </w:r>
          <w:r>
            <w:rPr>
              <w:rFonts w:eastAsia="Calibri"/>
              <w:color w:val="000000"/>
            </w:rPr>
            <w:t xml:space="preserve">г.Фокино </w:t>
          </w:r>
          <w:r>
            <w:rPr>
              <w:rFonts w:eastAsia="Calibri"/>
            </w:rPr>
            <w:t>(</w:t>
          </w:r>
          <w:r>
            <w:rPr>
              <w:rFonts w:eastAsia="Calibri"/>
              <w:color w:val="000000"/>
            </w:rPr>
            <w:t>21,2%</w:t>
          </w:r>
          <w:r>
            <w:rPr>
              <w:rFonts w:eastAsia="Calibri"/>
            </w:rPr>
            <w:t>), г. Сельцо (25,66%); в группе муниципальных районов — в Комаричском (14,4%), Навлинском (19,37%), Злынковском (20,02%) районах.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color w:val="000000"/>
            </w:rPr>
            <w:t>Наиб</w:t>
          </w:r>
          <w:r>
            <w:rPr>
              <w:rFonts w:eastAsia="Calibri"/>
            </w:rPr>
            <w:t xml:space="preserve">ольший рост числа занимающихся по сравнению с 2022 годом </w:t>
          </w:r>
          <w:r>
            <w:rPr>
              <w:rFonts w:eastAsia="Calibri"/>
              <w:color w:val="000000"/>
            </w:rPr>
            <w:t>сложился в</w:t>
          </w:r>
          <w:r>
            <w:rPr>
              <w:rFonts w:eastAsia="Calibri"/>
            </w:rPr>
            <w:t xml:space="preserve"> группе городс</w:t>
          </w:r>
          <w:r>
            <w:rPr>
              <w:rFonts w:eastAsia="Calibri"/>
            </w:rPr>
            <w:t xml:space="preserve">ких округов — в г. </w:t>
          </w:r>
          <w:r>
            <w:rPr>
              <w:rFonts w:eastAsia="Calibri"/>
              <w:color w:val="000000"/>
            </w:rPr>
            <w:t>Брянске</w:t>
          </w:r>
          <w:r>
            <w:rPr>
              <w:rFonts w:eastAsia="Calibri"/>
            </w:rPr>
            <w:t xml:space="preserve"> (на </w:t>
          </w:r>
          <w:r>
            <w:rPr>
              <w:rFonts w:eastAsia="Calibri"/>
              <w:color w:val="000000"/>
            </w:rPr>
            <w:t>1,8</w:t>
          </w:r>
          <w:r>
            <w:rPr>
              <w:rFonts w:eastAsia="Calibri"/>
            </w:rPr>
            <w:t xml:space="preserve"> </w:t>
          </w:r>
          <w:r>
            <w:rPr>
              <w:rFonts w:eastAsia="Calibri"/>
              <w:color w:val="000000"/>
            </w:rPr>
            <w:t>п.п.</w:t>
          </w:r>
          <w:r>
            <w:rPr>
              <w:rFonts w:eastAsia="Calibri"/>
            </w:rPr>
            <w:t>); в группе муниципальных районов — в Жирятинском (на 17,73 п.п.), Трубчевском (на 15,13 п.п.), Клинцовском (на 5,36 п.п.) районах.</w:t>
          </w:r>
        </w:p>
        <w:p w:rsidR="008E239A" w:rsidRDefault="008E239A">
          <w:pPr>
            <w:suppressAutoHyphens/>
            <w:ind w:firstLine="709"/>
            <w:jc w:val="both"/>
            <w:rPr>
              <w:rFonts w:eastAsia="Calibri"/>
            </w:rPr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b/>
              <w:bCs/>
              <w:color w:val="000000"/>
            </w:rPr>
            <w:t xml:space="preserve">23.1. </w:t>
          </w:r>
          <w:r>
            <w:rPr>
              <w:rFonts w:eastAsia="Calibri"/>
              <w:b/>
              <w:bCs/>
              <w:color w:val="000000"/>
            </w:rPr>
            <w:t xml:space="preserve">Доля обучающихся, систематически занимающихся физической культурой и спортом, </w:t>
          </w:r>
          <w:r>
            <w:rPr>
              <w:rFonts w:eastAsia="Calibri"/>
              <w:b/>
              <w:bCs/>
              <w:color w:val="000000"/>
            </w:rPr>
            <w:t>в общей численности обучающихся (процентов)</w:t>
          </w:r>
        </w:p>
        <w:p w:rsidR="008E239A" w:rsidRDefault="00D61E62">
          <w:pPr>
            <w:tabs>
              <w:tab w:val="left" w:pos="0"/>
            </w:tabs>
            <w:suppressAutoHyphens/>
            <w:ind w:firstLine="708"/>
            <w:jc w:val="both"/>
          </w:pPr>
          <w:r>
            <w:rPr>
              <w:color w:val="000000"/>
            </w:rPr>
            <w:t xml:space="preserve">В целом по области в 2023 году значение показателя составило </w:t>
          </w:r>
          <w:r>
            <w:rPr>
              <w:color w:val="000000"/>
            </w:rPr>
            <w:t>75,19</w:t>
          </w:r>
          <w:r>
            <w:rPr>
              <w:color w:val="000000"/>
            </w:rPr>
            <w:t>%, увеличившись на 5,53 п.п. к уровню 2022 года.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color w:val="000000"/>
            </w:rPr>
            <w:lastRenderedPageBreak/>
            <w:t xml:space="preserve">Наибольшие значения показателя в 2023 году </w:t>
          </w:r>
          <w:r>
            <w:rPr>
              <w:color w:val="000000"/>
            </w:rPr>
            <w:t xml:space="preserve">в группе городских округов достигнуты в г. Фокино (91,32%), г. Брянске (75,9%), г. Клинцы (74,0%); в группе муниципальных районов — в Почепском (97,59%), Унечском (94,68%), </w:t>
          </w:r>
          <w:r>
            <w:rPr>
              <w:color w:val="000000"/>
              <w:lang w:eastAsia="en-US"/>
            </w:rPr>
            <w:t>Мглинском (89,96%) районах</w:t>
          </w:r>
          <w:r>
            <w:rPr>
              <w:color w:val="000000"/>
            </w:rPr>
            <w:t xml:space="preserve">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color w:val="000000"/>
            </w:rPr>
            <w:t xml:space="preserve">Наименьшие значения показателя отмечены </w:t>
          </w:r>
          <w:r>
            <w:rPr>
              <w:rFonts w:eastAsia="Calibri"/>
              <w:color w:val="000000"/>
            </w:rPr>
            <w:t>в группе</w:t>
          </w:r>
          <w:r>
            <w:rPr>
              <w:rFonts w:eastAsia="Calibri"/>
              <w:color w:val="000000"/>
            </w:rPr>
            <w:t xml:space="preserve"> город</w:t>
          </w:r>
          <w:r>
            <w:rPr>
              <w:rFonts w:eastAsia="Calibri"/>
              <w:color w:val="000000"/>
            </w:rPr>
            <w:t xml:space="preserve">ских округов - в </w:t>
          </w:r>
          <w:r>
            <w:rPr>
              <w:rFonts w:eastAsia="Calibri"/>
              <w:color w:val="000000"/>
            </w:rPr>
            <w:t xml:space="preserve">г. Новозыбкове </w:t>
          </w:r>
          <w:r>
            <w:rPr>
              <w:rFonts w:eastAsia="Calibri"/>
              <w:color w:val="000000"/>
            </w:rPr>
            <w:t>(</w:t>
          </w:r>
          <w:r>
            <w:rPr>
              <w:rFonts w:eastAsia="Calibri"/>
              <w:color w:val="000000"/>
            </w:rPr>
            <w:t>71,88%</w:t>
          </w:r>
          <w:r>
            <w:rPr>
              <w:rFonts w:eastAsia="Calibri"/>
              <w:color w:val="000000"/>
            </w:rPr>
            <w:t>), г. Сельцо (</w:t>
          </w:r>
          <w:r>
            <w:rPr>
              <w:rFonts w:eastAsia="Calibri"/>
              <w:color w:val="000000"/>
            </w:rPr>
            <w:t>52,37</w:t>
          </w:r>
          <w:r>
            <w:rPr>
              <w:rFonts w:eastAsia="Calibri"/>
              <w:color w:val="000000"/>
            </w:rPr>
            <w:t>%); в группе муниципальных районов — в Клинцовском (</w:t>
          </w:r>
          <w:r>
            <w:rPr>
              <w:rFonts w:eastAsia="Calibri"/>
              <w:color w:val="000000"/>
            </w:rPr>
            <w:t>44,93</w:t>
          </w:r>
          <w:r>
            <w:rPr>
              <w:rFonts w:eastAsia="Calibri"/>
              <w:color w:val="000000"/>
            </w:rPr>
            <w:t xml:space="preserve">%), </w:t>
          </w:r>
          <w:r>
            <w:rPr>
              <w:rFonts w:eastAsia="Calibri"/>
              <w:color w:val="000000"/>
            </w:rPr>
            <w:t>Гордеевском</w:t>
          </w:r>
          <w:r>
            <w:rPr>
              <w:rFonts w:eastAsia="Calibri"/>
              <w:color w:val="000000"/>
            </w:rPr>
            <w:t xml:space="preserve"> (</w:t>
          </w:r>
          <w:r>
            <w:rPr>
              <w:rFonts w:eastAsia="Calibri"/>
              <w:color w:val="000000"/>
            </w:rPr>
            <w:t>57,06</w:t>
          </w:r>
          <w:r>
            <w:rPr>
              <w:rFonts w:eastAsia="Calibri"/>
              <w:color w:val="000000"/>
            </w:rPr>
            <w:t xml:space="preserve">%), </w:t>
          </w:r>
          <w:r>
            <w:rPr>
              <w:rFonts w:eastAsia="Calibri"/>
              <w:color w:val="000000"/>
            </w:rPr>
            <w:t>Стародубском</w:t>
          </w:r>
          <w:r>
            <w:rPr>
              <w:rFonts w:eastAsia="Calibri"/>
              <w:color w:val="000000"/>
            </w:rPr>
            <w:t xml:space="preserve"> (</w:t>
          </w:r>
          <w:r>
            <w:rPr>
              <w:rFonts w:eastAsia="Calibri"/>
              <w:color w:val="000000"/>
            </w:rPr>
            <w:t>54,66</w:t>
          </w:r>
          <w:r>
            <w:rPr>
              <w:rFonts w:eastAsia="Calibri"/>
              <w:color w:val="000000"/>
            </w:rPr>
            <w:t>%) муниципальном округе.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color w:val="000000"/>
              <w:lang w:eastAsia="en-US"/>
            </w:rPr>
            <w:t>Наибольший</w:t>
          </w:r>
          <w:r>
            <w:rPr>
              <w:rFonts w:eastAsia="Calibri"/>
              <w:color w:val="000000"/>
              <w:lang w:eastAsia="en-US"/>
            </w:rPr>
            <w:t xml:space="preserve"> рост показателя к уровню 2022 года отмечен в Унечском (на 39</w:t>
          </w:r>
          <w:r>
            <w:rPr>
              <w:rFonts w:eastAsia="Calibri"/>
              <w:color w:val="000000"/>
              <w:lang w:eastAsia="en-US"/>
            </w:rPr>
            <w:t>,68 п.п.), Почепском (на 26,96 п.п.), Мглинском (на 26,86 п.п.), Суземском (на 21,44 п.п.), Карачевском (на 21,35 п.п.) муниципальных районах, в городском округе г. Сельцо (на 21,37 п.п.).</w:t>
          </w: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D61E62">
          <w:pPr>
            <w:suppressAutoHyphens/>
            <w:jc w:val="center"/>
          </w:pPr>
          <w:r>
            <w:rPr>
              <w:u w:val="single"/>
            </w:rPr>
            <w:t xml:space="preserve">Перечень мероприятий по повышению результативности деятельности </w:t>
          </w:r>
          <w:r>
            <w:rPr>
              <w:u w:val="single"/>
            </w:rPr>
            <w:t>органов местного самоуправления городских округов и муниципальных районов в сфере «Физическая культура и спорт»</w:t>
          </w:r>
        </w:p>
        <w:p w:rsidR="008E239A" w:rsidRDefault="008E239A">
          <w:pPr>
            <w:suppressAutoHyphens/>
            <w:jc w:val="center"/>
          </w:pPr>
        </w:p>
        <w:p w:rsidR="008E239A" w:rsidRDefault="00D61E62">
          <w:pPr>
            <w:pStyle w:val="aff7"/>
            <w:suppressAutoHyphens/>
            <w:spacing w:line="240" w:lineRule="auto"/>
            <w:ind w:left="0" w:firstLine="709"/>
            <w:jc w:val="both"/>
          </w:pPr>
          <w:r>
            <w:rPr>
              <w:rFonts w:ascii="Times New Roman" w:eastAsia="Times New Roman" w:hAnsi="Times New Roman"/>
              <w:sz w:val="28"/>
              <w:szCs w:val="28"/>
              <w:lang w:eastAsia="ru-RU"/>
            </w:rPr>
            <w:t xml:space="preserve">1. </w:t>
          </w:r>
          <w:r>
            <w:rPr>
              <w:rFonts w:ascii="Times New Roman" w:eastAsia="Times New Roman" w:hAnsi="Times New Roman"/>
              <w:sz w:val="28"/>
              <w:szCs w:val="28"/>
              <w:lang w:eastAsia="ru-RU"/>
            </w:rPr>
            <w:t>Содействие развитию инфраструктуры спорта, укрепление материально-технической базы физической культуры в образовательных учреждениях.</w:t>
          </w:r>
        </w:p>
        <w:p w:rsidR="008E239A" w:rsidRDefault="00D61E62">
          <w:pPr>
            <w:pStyle w:val="aff7"/>
            <w:suppressAutoHyphens/>
            <w:spacing w:line="240" w:lineRule="auto"/>
            <w:ind w:left="0" w:firstLine="709"/>
            <w:jc w:val="both"/>
          </w:pPr>
          <w:r>
            <w:rPr>
              <w:rFonts w:ascii="Times New Roman" w:eastAsia="Times New Roman" w:hAnsi="Times New Roman"/>
              <w:sz w:val="28"/>
              <w:szCs w:val="28"/>
              <w:lang w:eastAsia="ru-RU"/>
            </w:rPr>
            <w:t>2. Про</w:t>
          </w:r>
          <w:r>
            <w:rPr>
              <w:rFonts w:ascii="Times New Roman" w:eastAsia="Times New Roman" w:hAnsi="Times New Roman"/>
              <w:sz w:val="28"/>
              <w:szCs w:val="28"/>
              <w:lang w:eastAsia="ru-RU"/>
            </w:rPr>
            <w:t>ведение мероприятий по повышению привлекательности физической культуры и спорта как сферы досуга и составляющей здорового образа жизни.</w:t>
          </w:r>
        </w:p>
        <w:p w:rsidR="008E239A" w:rsidRDefault="00D61E62">
          <w:pPr>
            <w:pStyle w:val="aff7"/>
            <w:suppressAutoHyphens/>
            <w:spacing w:line="240" w:lineRule="auto"/>
            <w:ind w:left="0" w:firstLine="709"/>
            <w:jc w:val="both"/>
          </w:pPr>
          <w:r>
            <w:rPr>
              <w:rFonts w:ascii="Times New Roman" w:eastAsia="Times New Roman" w:hAnsi="Times New Roman"/>
              <w:sz w:val="28"/>
              <w:szCs w:val="28"/>
              <w:lang w:eastAsia="ru-RU"/>
            </w:rPr>
            <w:t>3. Активизация работы по увеличению численности занимающихся физической культуры и спортом среди среднего и старшего пок</w:t>
          </w:r>
          <w:r>
            <w:rPr>
              <w:rFonts w:ascii="Times New Roman" w:eastAsia="Times New Roman" w:hAnsi="Times New Roman"/>
              <w:sz w:val="28"/>
              <w:szCs w:val="28"/>
              <w:lang w:eastAsia="ru-RU"/>
            </w:rPr>
            <w:t>олений.</w:t>
          </w:r>
        </w:p>
        <w:p w:rsidR="008E239A" w:rsidRDefault="00D61E62">
          <w:pPr>
            <w:pStyle w:val="aff7"/>
            <w:suppressAutoHyphens/>
            <w:spacing w:line="240" w:lineRule="auto"/>
            <w:ind w:left="0" w:firstLine="709"/>
            <w:jc w:val="both"/>
          </w:pPr>
          <w:r>
            <w:rPr>
              <w:rFonts w:ascii="Times New Roman" w:eastAsia="Times New Roman" w:hAnsi="Times New Roman"/>
              <w:sz w:val="28"/>
              <w:szCs w:val="28"/>
              <w:lang w:eastAsia="ru-RU"/>
            </w:rPr>
            <w:t>4.  П</w:t>
          </w:r>
          <w:r>
            <w:rPr>
              <w:rFonts w:ascii="Times New Roman" w:eastAsia="Times New Roman" w:hAnsi="Times New Roman"/>
              <w:bCs/>
              <w:sz w:val="28"/>
              <w:szCs w:val="28"/>
              <w:lang w:eastAsia="ru-RU"/>
            </w:rPr>
            <w:t>оддержка спорта высших достижений, в том числе профессионального.</w:t>
          </w:r>
        </w:p>
        <w:p w:rsidR="008E239A" w:rsidRDefault="00D61E62">
          <w:pPr>
            <w:pStyle w:val="aff7"/>
            <w:suppressAutoHyphens/>
            <w:spacing w:line="240" w:lineRule="auto"/>
            <w:ind w:left="0" w:firstLine="709"/>
            <w:jc w:val="both"/>
          </w:pPr>
          <w:r>
            <w:rPr>
              <w:rFonts w:ascii="Times New Roman" w:eastAsia="Times New Roman" w:hAnsi="Times New Roman"/>
              <w:bCs/>
              <w:sz w:val="28"/>
              <w:szCs w:val="28"/>
              <w:lang w:eastAsia="ru-RU"/>
            </w:rPr>
            <w:t>5. Успешная реализация Всероссийского физкультурно-спортивного комплекса «Готов к труду и обороне».</w:t>
          </w:r>
        </w:p>
        <w:p w:rsidR="008E239A" w:rsidRDefault="008E239A">
          <w:pPr>
            <w:pStyle w:val="aff7"/>
            <w:suppressAutoHyphens/>
            <w:spacing w:line="240" w:lineRule="auto"/>
            <w:ind w:left="0" w:firstLine="709"/>
            <w:jc w:val="both"/>
          </w:pPr>
        </w:p>
        <w:p w:rsidR="008E239A" w:rsidRDefault="00D61E62">
          <w:pPr>
            <w:pStyle w:val="aff7"/>
            <w:suppressAutoHyphens/>
            <w:spacing w:after="120" w:line="240" w:lineRule="auto"/>
            <w:ind w:left="0" w:firstLine="709"/>
            <w:jc w:val="center"/>
          </w:pPr>
          <w:r>
            <w:rPr>
              <w:rFonts w:ascii="Times New Roman" w:hAnsi="Times New Roman"/>
              <w:b/>
              <w:sz w:val="28"/>
              <w:szCs w:val="28"/>
            </w:rPr>
            <w:t>6. ЖИЛИЩНОЕ СТРОИТЕЛЬСТВО И ОБЕСПЕЧЕНИЕ</w:t>
          </w:r>
        </w:p>
        <w:p w:rsidR="008E239A" w:rsidRDefault="00D61E62">
          <w:pPr>
            <w:pStyle w:val="aff7"/>
            <w:suppressAutoHyphens/>
            <w:spacing w:after="120" w:line="240" w:lineRule="auto"/>
            <w:ind w:left="0" w:firstLine="709"/>
            <w:jc w:val="center"/>
          </w:pPr>
          <w:r>
            <w:rPr>
              <w:rFonts w:ascii="Times New Roman" w:hAnsi="Times New Roman"/>
              <w:b/>
              <w:sz w:val="28"/>
              <w:szCs w:val="28"/>
            </w:rPr>
            <w:t>ГРАЖДАН ЖИЛЬЕМ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rFonts w:eastAsia="Calibri"/>
              <w:bCs/>
              <w:lang w:eastAsia="en-US"/>
            </w:rPr>
            <w:t>На территории Брянско</w:t>
          </w:r>
          <w:r>
            <w:rPr>
              <w:rFonts w:eastAsia="Calibri"/>
              <w:bCs/>
              <w:lang w:eastAsia="en-US"/>
            </w:rPr>
            <w:t xml:space="preserve">й области реализуется региональный проект «Жилье». </w:t>
          </w:r>
          <w:r>
            <w:rPr>
              <w:rFonts w:eastAsia="Calibri"/>
              <w:lang w:eastAsia="en-US"/>
            </w:rPr>
            <w:t xml:space="preserve">В 2023 году </w:t>
          </w:r>
          <w:r>
            <w:rPr>
              <w:rFonts w:eastAsia="Calibri"/>
              <w:color w:val="000000"/>
              <w:lang w:eastAsia="en-US"/>
            </w:rPr>
            <w:t>в</w:t>
          </w:r>
          <w:r>
            <w:rPr>
              <w:rFonts w:eastAsia="Calibri"/>
              <w:color w:val="000000"/>
              <w:u w:color="000000"/>
              <w:lang w:eastAsia="en-US"/>
            </w:rPr>
            <w:t xml:space="preserve">ведено в эксплуатацию </w:t>
          </w:r>
          <w:r>
            <w:rPr>
              <w:rFonts w:eastAsia="Calibri"/>
              <w:bCs/>
              <w:color w:val="000000"/>
              <w:u w:color="000000"/>
              <w:lang w:eastAsia="en-US"/>
            </w:rPr>
            <w:t xml:space="preserve">568,6 тыс. кв. метров жилой площади или </w:t>
          </w:r>
          <w:r>
            <w:rPr>
              <w:bCs/>
              <w:color w:val="000000"/>
              <w:u w:color="000000"/>
            </w:rPr>
            <w:t>117,0</w:t>
          </w:r>
          <w:r>
            <w:rPr>
              <w:rFonts w:eastAsia="Calibri"/>
              <w:bCs/>
              <w:color w:val="000000"/>
              <w:u w:color="000000"/>
              <w:lang w:eastAsia="en-US"/>
            </w:rPr>
            <w:t xml:space="preserve"> процентов к уровню 2022 года.</w:t>
          </w:r>
        </w:p>
        <w:p w:rsidR="008E239A" w:rsidRDefault="00D61E62">
          <w:pPr>
            <w:pStyle w:val="a1"/>
            <w:suppressAutoHyphens/>
            <w:spacing w:after="0"/>
            <w:ind w:firstLine="709"/>
            <w:jc w:val="both"/>
          </w:pPr>
          <w:r>
            <w:rPr>
              <w:sz w:val="28"/>
              <w:szCs w:val="28"/>
            </w:rPr>
            <w:t xml:space="preserve">В Брянской области активно развивается комплексная застройка территорий, которая в отличие от точечной застройки отвечает современным требованиям к комфортному жилью, обеспечению городских территорий развитой инфраструктурой. </w:t>
          </w:r>
          <w:r>
            <w:rPr>
              <w:color w:val="000000"/>
              <w:sz w:val="28"/>
              <w:szCs w:val="28"/>
            </w:rPr>
            <w:t>Н</w:t>
          </w:r>
          <w:r>
            <w:rPr>
              <w:sz w:val="28"/>
              <w:szCs w:val="28"/>
            </w:rPr>
            <w:t>а территории региона реализую</w:t>
          </w:r>
          <w:r>
            <w:rPr>
              <w:sz w:val="28"/>
              <w:szCs w:val="28"/>
            </w:rPr>
            <w:t xml:space="preserve">тся пять крупных проектов: застройка территории </w:t>
          </w:r>
          <w:r>
            <w:rPr>
              <w:color w:val="000000"/>
              <w:sz w:val="28"/>
              <w:szCs w:val="28"/>
            </w:rPr>
            <w:t>бывшего</w:t>
          </w:r>
          <w:r>
            <w:rPr>
              <w:sz w:val="28"/>
              <w:szCs w:val="28"/>
            </w:rPr>
            <w:t xml:space="preserve"> аэропорта в Советском районе г. Брянска; застройка ул. Флотской в Бежицком районе г. Брянска; </w:t>
          </w:r>
          <w:r>
            <w:rPr>
              <w:bCs/>
              <w:sz w:val="28"/>
              <w:szCs w:val="28"/>
            </w:rPr>
            <w:t xml:space="preserve">застройка микрорайона «Мегаполис-Парк» в п. Мичуринский Брянского района; </w:t>
          </w:r>
          <w:r>
            <w:rPr>
              <w:sz w:val="28"/>
              <w:szCs w:val="28"/>
            </w:rPr>
            <w:t>строительство жилого комплекса «</w:t>
          </w:r>
          <w:r>
            <w:rPr>
              <w:sz w:val="28"/>
              <w:szCs w:val="28"/>
            </w:rPr>
            <w:t xml:space="preserve">Мичуринский Город-Парк» в </w:t>
          </w:r>
          <w:r>
            <w:rPr>
              <w:color w:val="000000"/>
              <w:sz w:val="28"/>
              <w:szCs w:val="28"/>
            </w:rPr>
            <w:t>п.</w:t>
          </w:r>
          <w:r>
            <w:rPr>
              <w:sz w:val="28"/>
              <w:szCs w:val="28"/>
            </w:rPr>
            <w:t xml:space="preserve"> Мичуринский Брянского района; </w:t>
          </w:r>
          <w:r>
            <w:rPr>
              <w:rFonts w:eastAsia="Calibri"/>
              <w:bCs/>
              <w:sz w:val="28"/>
              <w:szCs w:val="28"/>
              <w:lang w:eastAsia="en-US"/>
            </w:rPr>
            <w:t>строительство жилого комплекса застройщиком ООО «Агроресурс» в п. Мичуринский Брянского района.</w:t>
          </w:r>
        </w:p>
        <w:p w:rsidR="008E239A" w:rsidRDefault="00D61E62">
          <w:pPr>
            <w:pStyle w:val="a1"/>
            <w:suppressAutoHyphens/>
            <w:ind w:firstLine="709"/>
            <w:jc w:val="both"/>
          </w:pPr>
          <w:r>
            <w:rPr>
              <w:rFonts w:eastAsia="Calibri"/>
              <w:bCs/>
              <w:sz w:val="28"/>
              <w:szCs w:val="28"/>
              <w:lang w:eastAsia="en-US"/>
            </w:rPr>
            <w:t xml:space="preserve">В целях стимулирования жилищного строительства </w:t>
          </w:r>
          <w:r>
            <w:rPr>
              <w:rFonts w:eastAsia="Calibri"/>
              <w:sz w:val="28"/>
              <w:szCs w:val="28"/>
              <w:lang w:eastAsia="en-US"/>
            </w:rPr>
            <w:t xml:space="preserve">на территории Брянской области в 2023 году </w:t>
          </w:r>
          <w:r>
            <w:rPr>
              <w:rFonts w:eastAsia="Calibri"/>
              <w:color w:val="000000"/>
              <w:sz w:val="28"/>
              <w:szCs w:val="28"/>
              <w:lang w:eastAsia="en-US"/>
            </w:rPr>
            <w:t>продолжилось</w:t>
          </w:r>
          <w:r>
            <w:rPr>
              <w:rFonts w:eastAsia="Calibri"/>
              <w:sz w:val="28"/>
              <w:szCs w:val="28"/>
              <w:lang w:eastAsia="en-US"/>
            </w:rPr>
            <w:t xml:space="preserve"> строительство объекта «Автодорога по ул. </w:t>
          </w:r>
          <w:r>
            <w:rPr>
              <w:rFonts w:eastAsia="Calibri"/>
              <w:sz w:val="28"/>
              <w:szCs w:val="28"/>
              <w:lang w:eastAsia="en-US"/>
            </w:rPr>
            <w:lastRenderedPageBreak/>
            <w:t xml:space="preserve">Ильи Иванова в Советском районе г. Брянска» </w:t>
          </w:r>
          <w:r>
            <w:rPr>
              <w:rFonts w:eastAsia="Calibri"/>
              <w:sz w:val="28"/>
              <w:szCs w:val="28"/>
              <w:lang w:eastAsia="en-US"/>
            </w:rPr>
            <w:t>(срок ввода в эксплуатацию – 2024 год).</w:t>
          </w:r>
        </w:p>
        <w:p w:rsidR="008E239A" w:rsidRDefault="00D61E62">
          <w:pPr>
            <w:suppressAutoHyphens/>
            <w:ind w:firstLine="711"/>
            <w:jc w:val="both"/>
          </w:pPr>
          <w:r>
            <w:rPr>
              <w:b/>
              <w:bCs/>
            </w:rPr>
            <w:t>24.</w:t>
          </w:r>
          <w:r>
            <w:rPr>
              <w:b/>
            </w:rPr>
            <w:t xml:space="preserve"> Общая площадь жилых помещений, приходящаяся в среднем на 1 жителя (кв. метров)</w:t>
          </w:r>
          <w:r>
            <w:rPr>
              <w:rStyle w:val="FootnoteCharacters"/>
              <w:b/>
              <w:color w:val="FFFFFF" w:themeColor="background1"/>
            </w:rPr>
            <w:t xml:space="preserve"> </w:t>
          </w:r>
          <w:r>
            <w:rPr>
              <w:b/>
            </w:rPr>
            <w:t xml:space="preserve">всего </w:t>
          </w:r>
        </w:p>
        <w:p w:rsidR="008E239A" w:rsidRDefault="00D61E62">
          <w:pPr>
            <w:tabs>
              <w:tab w:val="left" w:pos="14685"/>
            </w:tabs>
            <w:suppressAutoHyphens/>
            <w:ind w:firstLine="709"/>
            <w:jc w:val="both"/>
          </w:pPr>
          <w:r>
            <w:t xml:space="preserve">В 2023 году обеспеченность жителей жильем составила </w:t>
          </w:r>
          <w:r>
            <w:rPr>
              <w:color w:val="000000"/>
            </w:rPr>
            <w:t>32,71</w:t>
          </w:r>
          <w:r>
            <w:t xml:space="preserve"> кв. метра общей площади в среднем на 1 человека (</w:t>
          </w:r>
          <w:r>
            <w:rPr>
              <w:color w:val="000000"/>
            </w:rPr>
            <w:t xml:space="preserve">в </w:t>
          </w:r>
          <w:r>
            <w:t xml:space="preserve">2022 году – </w:t>
          </w:r>
          <w:r>
            <w:rPr>
              <w:color w:val="000000"/>
            </w:rPr>
            <w:t>32,25</w:t>
          </w:r>
          <w:r>
            <w:t xml:space="preserve"> кв. метра). </w:t>
          </w:r>
          <w:r>
            <w:t xml:space="preserve"> Увеличение показателя в 2023 году произошло за счет увеличения количества площади вводимого жилья, а также динамика </w:t>
          </w:r>
          <w:r>
            <w:t>показателя связана с уменьшением численности населения.</w:t>
          </w:r>
        </w:p>
        <w:p w:rsidR="008E239A" w:rsidRDefault="00D61E62">
          <w:pPr>
            <w:tabs>
              <w:tab w:val="left" w:pos="14685"/>
            </w:tabs>
            <w:suppressAutoHyphens/>
            <w:ind w:firstLine="709"/>
            <w:jc w:val="both"/>
          </w:pPr>
          <w:r>
            <w:t xml:space="preserve">При этом в группе городских округах анализируемый показатель </w:t>
          </w:r>
          <w:r>
            <w:rPr>
              <w:color w:val="000000"/>
            </w:rPr>
            <w:t>увеличился к уровню</w:t>
          </w:r>
          <w:r>
            <w:t xml:space="preserve"> 2022 года на </w:t>
          </w:r>
          <w:r>
            <w:rPr>
              <w:color w:val="000000"/>
            </w:rPr>
            <w:t>1,59</w:t>
          </w:r>
          <w:r>
            <w:t xml:space="preserve">% и составил </w:t>
          </w:r>
          <w:r>
            <w:rPr>
              <w:color w:val="000000"/>
            </w:rPr>
            <w:t>29,46</w:t>
          </w:r>
          <w:r>
            <w:t xml:space="preserve"> кв. метров, </w:t>
          </w:r>
          <w:r>
            <w:rPr>
              <w:color w:val="000000"/>
            </w:rPr>
            <w:t>группе муниципальных районов</w:t>
          </w:r>
          <w:r>
            <w:t xml:space="preserve"> — на </w:t>
          </w:r>
          <w:r>
            <w:rPr>
              <w:color w:val="000000"/>
            </w:rPr>
            <w:t>1,3</w:t>
          </w:r>
          <w:r>
            <w:t xml:space="preserve">7 % и достиг </w:t>
          </w:r>
          <w:r>
            <w:rPr>
              <w:color w:val="000000"/>
            </w:rPr>
            <w:t>33,33</w:t>
          </w:r>
          <w:r>
            <w:t xml:space="preserve"> кв. метра.</w:t>
          </w:r>
        </w:p>
        <w:p w:rsidR="008E239A" w:rsidRDefault="00D61E62">
          <w:pPr>
            <w:tabs>
              <w:tab w:val="left" w:pos="14685"/>
            </w:tabs>
            <w:suppressAutoHyphens/>
            <w:ind w:firstLine="709"/>
            <w:jc w:val="both"/>
          </w:pPr>
          <w:r>
            <w:rPr>
              <w:b/>
            </w:rPr>
            <w:t xml:space="preserve">в </w:t>
          </w:r>
          <w:r>
            <w:rPr>
              <w:b/>
            </w:rPr>
            <w:t>том числе введенная в действие за один год</w:t>
          </w:r>
          <w:r>
            <w:t xml:space="preserve">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bCs/>
              <w:spacing w:val="-6"/>
            </w:rPr>
            <w:t xml:space="preserve">В среднем по области в 2023 году значение показателя составило </w:t>
          </w:r>
          <w:r>
            <w:rPr>
              <w:bCs/>
              <w:color w:val="000000"/>
              <w:spacing w:val="-6"/>
            </w:rPr>
            <w:t>0,26</w:t>
          </w:r>
          <w:r>
            <w:rPr>
              <w:bCs/>
              <w:spacing w:val="-6"/>
            </w:rPr>
            <w:t xml:space="preserve"> кв. метра (в 2022 году — 0,25 кв. метра).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bCs/>
              <w:color w:val="000000"/>
              <w:spacing w:val="-6"/>
            </w:rPr>
            <w:t>Наибольшие</w:t>
          </w:r>
          <w:r>
            <w:rPr>
              <w:bCs/>
              <w:spacing w:val="-6"/>
            </w:rPr>
            <w:t xml:space="preserve"> значения показателя </w:t>
          </w:r>
          <w:r>
            <w:rPr>
              <w:bCs/>
              <w:color w:val="000000"/>
              <w:spacing w:val="-6"/>
            </w:rPr>
            <w:t>в группе</w:t>
          </w:r>
          <w:r>
            <w:rPr>
              <w:bCs/>
              <w:spacing w:val="-6"/>
            </w:rPr>
            <w:t xml:space="preserve"> городских округов </w:t>
          </w:r>
          <w:r>
            <w:rPr>
              <w:bCs/>
              <w:color w:val="000000"/>
              <w:spacing w:val="-6"/>
            </w:rPr>
            <w:t>достигнуты в</w:t>
          </w:r>
          <w:r>
            <w:rPr>
              <w:bCs/>
              <w:spacing w:val="-6"/>
            </w:rPr>
            <w:t xml:space="preserve"> г.Брянске (</w:t>
          </w:r>
          <w:r>
            <w:rPr>
              <w:bCs/>
              <w:color w:val="000000"/>
              <w:spacing w:val="-6"/>
            </w:rPr>
            <w:t>0,68</w:t>
          </w:r>
          <w:r>
            <w:rPr>
              <w:bCs/>
              <w:spacing w:val="-6"/>
            </w:rPr>
            <w:t xml:space="preserve"> кв.метра), г. </w:t>
          </w:r>
          <w:r>
            <w:rPr>
              <w:bCs/>
              <w:color w:val="000000"/>
              <w:spacing w:val="-6"/>
            </w:rPr>
            <w:t>Ф</w:t>
          </w:r>
          <w:r>
            <w:rPr>
              <w:bCs/>
              <w:color w:val="000000"/>
              <w:spacing w:val="-6"/>
            </w:rPr>
            <w:t>окино</w:t>
          </w:r>
          <w:r>
            <w:rPr>
              <w:bCs/>
              <w:spacing w:val="-6"/>
            </w:rPr>
            <w:t xml:space="preserve"> (0,32 кв. метра), г. Сельцо (0,26 кв. метра), наименьшие – в г. Клинцы и г. </w:t>
          </w:r>
          <w:r>
            <w:rPr>
              <w:bCs/>
              <w:color w:val="000000"/>
              <w:spacing w:val="-6"/>
            </w:rPr>
            <w:t>Новозыбкове</w:t>
          </w:r>
          <w:r>
            <w:rPr>
              <w:bCs/>
              <w:spacing w:val="-6"/>
            </w:rPr>
            <w:t xml:space="preserve"> (</w:t>
          </w:r>
          <w:r>
            <w:rPr>
              <w:bCs/>
              <w:color w:val="000000"/>
              <w:spacing w:val="-6"/>
            </w:rPr>
            <w:t>0,26</w:t>
          </w:r>
          <w:r>
            <w:rPr>
              <w:bCs/>
              <w:spacing w:val="-6"/>
            </w:rPr>
            <w:t xml:space="preserve"> кв. метра и 0,</w:t>
          </w:r>
          <w:r>
            <w:rPr>
              <w:bCs/>
              <w:color w:val="000000"/>
              <w:spacing w:val="-6"/>
            </w:rPr>
            <w:t xml:space="preserve">19 </w:t>
          </w:r>
          <w:r>
            <w:rPr>
              <w:bCs/>
              <w:spacing w:val="-6"/>
            </w:rPr>
            <w:t xml:space="preserve">кв. метра соответственно).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bCs/>
              <w:spacing w:val="-6"/>
            </w:rPr>
            <w:t>В группе муниципальных районов</w:t>
          </w:r>
          <w:r>
            <w:rPr>
              <w:bCs/>
              <w:color w:val="000000"/>
              <w:spacing w:val="-6"/>
            </w:rPr>
            <w:t xml:space="preserve"> л</w:t>
          </w:r>
          <w:r>
            <w:rPr>
              <w:bCs/>
              <w:spacing w:val="-6"/>
            </w:rPr>
            <w:t>идерами являются Брянский (</w:t>
          </w:r>
          <w:r>
            <w:rPr>
              <w:bCs/>
              <w:color w:val="000000"/>
              <w:spacing w:val="-6"/>
            </w:rPr>
            <w:t>2,62</w:t>
          </w:r>
          <w:r>
            <w:rPr>
              <w:bCs/>
              <w:spacing w:val="-6"/>
            </w:rPr>
            <w:t xml:space="preserve"> кв. метра), Выгоничский (0,57 кв. метра), Климо</w:t>
          </w:r>
          <w:r>
            <w:rPr>
              <w:bCs/>
              <w:spacing w:val="-6"/>
            </w:rPr>
            <w:t xml:space="preserve">вский (0,24 кв. метра) муниципальные районы. Наименьшее значение показателя - в </w:t>
          </w:r>
          <w:r>
            <w:rPr>
              <w:bCs/>
              <w:color w:val="000000"/>
              <w:spacing w:val="-6"/>
            </w:rPr>
            <w:t>Злынковском и Комаричском (0,03 кв. метра)</w:t>
          </w:r>
          <w:r>
            <w:rPr>
              <w:bCs/>
              <w:spacing w:val="-6"/>
            </w:rPr>
            <w:t xml:space="preserve">, Гордеевском (0,05 кв. метра) муниципальных районах. </w:t>
          </w:r>
        </w:p>
        <w:p w:rsidR="008E239A" w:rsidRDefault="008E239A">
          <w:pPr>
            <w:suppressAutoHyphens/>
            <w:ind w:firstLine="709"/>
            <w:jc w:val="both"/>
            <w:rPr>
              <w:bCs/>
              <w:spacing w:val="-6"/>
            </w:rPr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b/>
            </w:rPr>
            <w:t xml:space="preserve">26. </w:t>
          </w:r>
          <w:r>
            <w:rPr>
              <w:b/>
              <w:spacing w:val="-10"/>
            </w:rPr>
            <w:t>Площадь земельных участков, предоставленных для строительства, в отношении</w:t>
          </w:r>
          <w:r>
            <w:rPr>
              <w:b/>
              <w:spacing w:val="-10"/>
            </w:rPr>
            <w:t xml:space="preserve"> которых с даты принятия решения о предоставлении земельного участка или подписания протокола о результатах торгов (конкурсов, аукционов) не было получено разрешение на ввод в эксплуатацию </w:t>
          </w:r>
          <w:r>
            <w:rPr>
              <w:b/>
            </w:rPr>
            <w:t>(кв. метров)</w:t>
          </w:r>
          <w:r>
            <w:rPr>
              <w:rStyle w:val="FootnoteCharacters"/>
              <w:b/>
              <w:color w:val="FFFFFF" w:themeColor="background1"/>
            </w:rPr>
            <w:t xml:space="preserve"> </w:t>
          </w:r>
          <w:r>
            <w:rPr>
              <w:b/>
            </w:rPr>
            <w:t>объектов жилищного строительства - в течение 3 лет, ин</w:t>
          </w:r>
          <w:r>
            <w:rPr>
              <w:b/>
            </w:rPr>
            <w:t>ых объектов капитального строительства - в течение 5 лет</w:t>
          </w:r>
        </w:p>
        <w:p w:rsidR="008E239A" w:rsidRDefault="00D61E62">
          <w:pPr>
            <w:suppressAutoHyphens/>
            <w:jc w:val="both"/>
          </w:pPr>
          <w:r>
            <w:tab/>
            <w:t>Площадь земельных участков, предоставленных для строительства, в отношении которых с даты принятия решения о предоставлении земельного участка или подписания протокола о результатах торгов (конкурсо</w:t>
          </w:r>
          <w:r>
            <w:t xml:space="preserve">в, аукционов) не было получено разрешение на ввод в эксплуатацию объектов жилищного строительства в течение 3 лет, в 2023 году в </w:t>
          </w:r>
          <w:r>
            <w:rPr>
              <w:color w:val="000000"/>
            </w:rPr>
            <w:t>среднем</w:t>
          </w:r>
          <w:r>
            <w:t xml:space="preserve"> по </w:t>
          </w:r>
          <w:r>
            <w:rPr>
              <w:color w:val="000000"/>
            </w:rPr>
            <w:t xml:space="preserve">области </w:t>
          </w:r>
          <w:r>
            <w:t xml:space="preserve">составила </w:t>
          </w:r>
          <w:r>
            <w:rPr>
              <w:color w:val="000000"/>
            </w:rPr>
            <w:t>283434</w:t>
          </w:r>
          <w:r>
            <w:t xml:space="preserve"> кв. метров и по сравнению с </w:t>
          </w:r>
          <w:r>
            <w:rPr>
              <w:color w:val="000000"/>
            </w:rPr>
            <w:t>2022</w:t>
          </w:r>
          <w:r>
            <w:t xml:space="preserve"> годом  </w:t>
          </w:r>
          <w:r>
            <w:rPr>
              <w:color w:val="000000"/>
            </w:rPr>
            <w:t>сократилось</w:t>
          </w:r>
          <w:r>
            <w:t xml:space="preserve"> на </w:t>
          </w:r>
          <w:r>
            <w:rPr>
              <w:color w:val="000000"/>
            </w:rPr>
            <w:t>250312,0</w:t>
          </w:r>
          <w:r>
            <w:t xml:space="preserve"> кв. метров или на </w:t>
          </w:r>
          <w:r>
            <w:rPr>
              <w:color w:val="000000"/>
            </w:rPr>
            <w:t>46,9</w:t>
          </w:r>
          <w:r>
            <w:t>%.</w:t>
          </w:r>
        </w:p>
        <w:p w:rsidR="008E239A" w:rsidRDefault="00D61E62">
          <w:pPr>
            <w:suppressAutoHyphens/>
            <w:ind w:firstLine="720"/>
            <w:jc w:val="both"/>
          </w:pPr>
          <w:r>
            <w:t xml:space="preserve">Снижение данного показателя в 2023 году к уровню </w:t>
          </w:r>
          <w:r>
            <w:rPr>
              <w:color w:val="000000"/>
            </w:rPr>
            <w:t xml:space="preserve">2022 </w:t>
          </w:r>
          <w:r>
            <w:t xml:space="preserve">года отмечено в  </w:t>
          </w:r>
          <w:r>
            <w:rPr>
              <w:color w:val="000000"/>
            </w:rPr>
            <w:t>Карачевском на 98,71%  (3120</w:t>
          </w:r>
          <w:r>
            <w:t xml:space="preserve"> кв. метров), в </w:t>
          </w:r>
          <w:r>
            <w:rPr>
              <w:color w:val="000000"/>
            </w:rPr>
            <w:t xml:space="preserve">Клинцовском - на 30,2% (30637 кв. метров) </w:t>
          </w:r>
          <w:r>
            <w:t>муниципальных районах. В городском округе г. Брянск показатель увеличился к уровню 2022 года на 21,</w:t>
          </w:r>
          <w:r>
            <w:t xml:space="preserve">54% и составил </w:t>
          </w:r>
          <w:r>
            <w:rPr>
              <w:color w:val="000000"/>
            </w:rPr>
            <w:t>97704</w:t>
          </w:r>
          <w:r>
            <w:t xml:space="preserve"> кв. метра, в городском округе г. Клинцы показатель не изменился к уровню 2022 года, составив 151973 кв. метра.</w:t>
          </w:r>
        </w:p>
        <w:p w:rsidR="008E239A" w:rsidRDefault="00D61E62">
          <w:pPr>
            <w:suppressAutoHyphens/>
            <w:ind w:firstLine="720"/>
            <w:jc w:val="both"/>
          </w:pPr>
          <w:r>
            <w:t>В остальных муниципальных образованиях области показатель составил 0,0 кв. метров.</w:t>
          </w:r>
        </w:p>
        <w:p w:rsidR="008E239A" w:rsidRDefault="00D61E62">
          <w:pPr>
            <w:suppressAutoHyphens/>
            <w:jc w:val="both"/>
          </w:pPr>
          <w:r>
            <w:lastRenderedPageBreak/>
            <w:tab/>
            <w:t>Площадь земельных участков, предоставлен</w:t>
          </w:r>
          <w:r>
            <w:t>ных для строительства, в отношении которых с даты принятия решения о предоставлении земельного участка или подписания протокола о результатах торгов (конкурсов, аукционов) не было получено разрешение на ввод в эксплуатацию иных объектов капитального строит</w:t>
          </w:r>
          <w:r>
            <w:t xml:space="preserve">ельства в течение 5 лет, в 2023 году составила в </w:t>
          </w:r>
          <w:r>
            <w:rPr>
              <w:color w:val="000000"/>
            </w:rPr>
            <w:t>среднем</w:t>
          </w:r>
          <w:r>
            <w:t xml:space="preserve"> по области </w:t>
          </w:r>
          <w:r>
            <w:rPr>
              <w:color w:val="000000"/>
            </w:rPr>
            <w:t>387360,0</w:t>
          </w:r>
          <w:r>
            <w:t xml:space="preserve"> кв. метра, сократившись к уровню 2022 года на </w:t>
          </w:r>
          <w:r>
            <w:rPr>
              <w:color w:val="000000"/>
            </w:rPr>
            <w:t>73,56</w:t>
          </w:r>
          <w:r>
            <w:t>%.</w:t>
          </w:r>
        </w:p>
        <w:p w:rsidR="008E239A" w:rsidRDefault="00D61E62">
          <w:pPr>
            <w:suppressAutoHyphens/>
            <w:ind w:firstLine="720"/>
            <w:jc w:val="both"/>
          </w:pPr>
          <w:r>
            <w:rPr>
              <w:color w:val="000000"/>
            </w:rPr>
            <w:t xml:space="preserve">В группе городских округов снижение данного показателя в 2023 году к уровню </w:t>
          </w:r>
          <w:r>
            <w:rPr>
              <w:color w:val="000000"/>
            </w:rPr>
            <w:t xml:space="preserve">2022 </w:t>
          </w:r>
          <w:r>
            <w:rPr>
              <w:color w:val="000000"/>
            </w:rPr>
            <w:t xml:space="preserve">года отмечено в </w:t>
          </w:r>
          <w:r>
            <w:rPr>
              <w:color w:val="000000"/>
            </w:rPr>
            <w:t xml:space="preserve">г. </w:t>
          </w:r>
          <w:r>
            <w:rPr>
              <w:color w:val="000000"/>
            </w:rPr>
            <w:t xml:space="preserve">Брянске на </w:t>
          </w:r>
          <w:r>
            <w:rPr>
              <w:color w:val="000000"/>
            </w:rPr>
            <w:t>81,57</w:t>
          </w:r>
          <w:r>
            <w:rPr>
              <w:color w:val="000000"/>
            </w:rPr>
            <w:t>% (</w:t>
          </w:r>
          <w:r>
            <w:rPr>
              <w:color w:val="000000"/>
            </w:rPr>
            <w:t>232074</w:t>
          </w:r>
          <w:r>
            <w:rPr>
              <w:color w:val="000000"/>
            </w:rPr>
            <w:t xml:space="preserve"> кв. метра). В г. Клинцы </w:t>
          </w:r>
          <w:r>
            <w:rPr>
              <w:color w:val="000000"/>
            </w:rPr>
            <w:t>показатель не изменился к уровню 2022 года, составив 98200</w:t>
          </w:r>
          <w:r>
            <w:rPr>
              <w:color w:val="000000"/>
            </w:rPr>
            <w:t xml:space="preserve"> кв. метров. В городских округах г. Новозыбков, г. Сельцо, г. </w:t>
          </w:r>
          <w:r>
            <w:rPr>
              <w:color w:val="000000"/>
            </w:rPr>
            <w:t>Фокино показатель составил 0,0 кв. метров</w:t>
          </w:r>
          <w:r>
            <w:rPr>
              <w:color w:val="000000"/>
            </w:rPr>
            <w:t xml:space="preserve">. </w:t>
          </w:r>
        </w:p>
        <w:p w:rsidR="008E239A" w:rsidRDefault="00D61E62">
          <w:pPr>
            <w:suppressAutoHyphens/>
            <w:ind w:firstLine="720"/>
            <w:jc w:val="both"/>
          </w:pPr>
          <w:r>
            <w:rPr>
              <w:color w:val="000000"/>
            </w:rPr>
            <w:t xml:space="preserve">В  группе муниципальных районов показатель </w:t>
          </w:r>
          <w:r>
            <w:rPr>
              <w:color w:val="000000"/>
            </w:rPr>
            <w:t>снизился</w:t>
          </w:r>
          <w:r>
            <w:rPr>
              <w:color w:val="000000"/>
            </w:rPr>
            <w:t xml:space="preserve"> в Карачевском р</w:t>
          </w:r>
          <w:r>
            <w:rPr>
              <w:color w:val="000000"/>
            </w:rPr>
            <w:t xml:space="preserve">айоне на </w:t>
          </w:r>
          <w:r>
            <w:rPr>
              <w:color w:val="000000"/>
            </w:rPr>
            <w:t>93,8</w:t>
          </w:r>
          <w:r>
            <w:rPr>
              <w:color w:val="000000"/>
            </w:rPr>
            <w:t xml:space="preserve">% </w:t>
          </w:r>
          <w:r>
            <w:rPr>
              <w:color w:val="000000"/>
            </w:rPr>
            <w:t>и составил 3120</w:t>
          </w:r>
          <w:r>
            <w:rPr>
              <w:color w:val="000000"/>
            </w:rPr>
            <w:t xml:space="preserve"> </w:t>
          </w:r>
          <w:r>
            <w:rPr>
              <w:color w:val="000000"/>
            </w:rPr>
            <w:t>кв. метра, в Клинцовском — на 4,53% (3966 кв. метра). В Красногорском районе показатель не изменился к уровню 2022 года, составив 50000 кв. метров. В остальных муниципальных образованиях показатель составил 0,0 кв. метров.</w:t>
          </w:r>
        </w:p>
        <w:p w:rsidR="008E239A" w:rsidRDefault="008E239A">
          <w:pPr>
            <w:suppressAutoHyphens/>
            <w:ind w:firstLine="720"/>
            <w:jc w:val="both"/>
          </w:pPr>
        </w:p>
        <w:p w:rsidR="008E239A" w:rsidRDefault="00D61E62">
          <w:pPr>
            <w:pStyle w:val="a1"/>
            <w:suppressAutoHyphens/>
            <w:spacing w:after="0"/>
            <w:ind w:firstLine="709"/>
            <w:jc w:val="center"/>
          </w:pPr>
          <w:r>
            <w:rPr>
              <w:bCs/>
              <w:color w:val="000000"/>
              <w:sz w:val="28"/>
              <w:szCs w:val="28"/>
              <w:u w:val="single"/>
            </w:rPr>
            <w:t>П</w:t>
          </w:r>
          <w:r>
            <w:rPr>
              <w:bCs/>
              <w:color w:val="000000"/>
              <w:sz w:val="28"/>
              <w:szCs w:val="28"/>
              <w:u w:val="single"/>
            </w:rPr>
            <w:t>еречень мероприятий по повышению результативности деятельности органов местного самоуправления городских округов и муниципальных районов в сфере «Жилищное строительство и обеспечение граждан жильем</w:t>
          </w:r>
          <w:r>
            <w:rPr>
              <w:color w:val="000000"/>
              <w:sz w:val="28"/>
              <w:szCs w:val="28"/>
              <w:u w:val="single"/>
            </w:rPr>
            <w:t>»</w:t>
          </w:r>
        </w:p>
        <w:p w:rsidR="008E239A" w:rsidRDefault="008E239A">
          <w:pPr>
            <w:pStyle w:val="a1"/>
            <w:suppressAutoHyphens/>
            <w:spacing w:after="0"/>
            <w:ind w:firstLine="709"/>
            <w:jc w:val="center"/>
            <w:rPr>
              <w:sz w:val="28"/>
              <w:szCs w:val="28"/>
              <w:u w:val="single"/>
            </w:rPr>
          </w:pPr>
        </w:p>
        <w:p w:rsidR="008E239A" w:rsidRDefault="00D61E62">
          <w:pPr>
            <w:pStyle w:val="aff7"/>
            <w:suppressAutoHyphens/>
            <w:spacing w:after="0" w:line="240" w:lineRule="auto"/>
            <w:ind w:left="0" w:firstLine="709"/>
            <w:jc w:val="both"/>
          </w:pPr>
          <w:r>
            <w:rPr>
              <w:rFonts w:ascii="Times New Roman" w:hAnsi="Times New Roman"/>
              <w:color w:val="000000"/>
              <w:sz w:val="28"/>
              <w:szCs w:val="28"/>
            </w:rPr>
            <w:t xml:space="preserve">1. Осуществление контроля использования земель, </w:t>
          </w:r>
          <w:r>
            <w:rPr>
              <w:rFonts w:ascii="Times New Roman" w:hAnsi="Times New Roman"/>
              <w:color w:val="000000"/>
              <w:sz w:val="28"/>
              <w:szCs w:val="28"/>
            </w:rPr>
            <w:t>получения разрешительной документации на застройку и регистрацию в установленном порядке построенных объектов жилищного строительства.</w:t>
          </w:r>
        </w:p>
        <w:p w:rsidR="008E239A" w:rsidRDefault="00D61E62">
          <w:pPr>
            <w:pStyle w:val="aff7"/>
            <w:suppressAutoHyphens/>
            <w:spacing w:after="0" w:line="240" w:lineRule="auto"/>
            <w:ind w:left="0" w:firstLine="709"/>
            <w:jc w:val="both"/>
          </w:pPr>
          <w:r>
            <w:rPr>
              <w:rFonts w:ascii="Times New Roman" w:hAnsi="Times New Roman"/>
              <w:color w:val="000000"/>
              <w:sz w:val="28"/>
              <w:szCs w:val="28"/>
            </w:rPr>
            <w:t xml:space="preserve">2. Содействие увеличению объемов ввода жилья, в том числе индивидуального  жилищного строительства, развитию необходимой </w:t>
          </w:r>
          <w:r>
            <w:rPr>
              <w:rFonts w:ascii="Times New Roman" w:hAnsi="Times New Roman"/>
              <w:color w:val="000000"/>
              <w:sz w:val="28"/>
              <w:szCs w:val="28"/>
            </w:rPr>
            <w:t>социальной и коммунальной инфраструктуры.</w:t>
          </w:r>
        </w:p>
        <w:p w:rsidR="008E239A" w:rsidRDefault="00D61E62">
          <w:pPr>
            <w:pStyle w:val="aff7"/>
            <w:suppressAutoHyphens/>
            <w:spacing w:after="0" w:line="240" w:lineRule="auto"/>
            <w:ind w:left="0" w:firstLine="709"/>
            <w:jc w:val="both"/>
          </w:pPr>
          <w:r>
            <w:rPr>
              <w:rFonts w:ascii="Times New Roman" w:hAnsi="Times New Roman"/>
              <w:color w:val="000000" w:themeColor="text1"/>
              <w:sz w:val="28"/>
              <w:szCs w:val="28"/>
            </w:rPr>
            <w:t xml:space="preserve">3. </w:t>
          </w:r>
          <w:r>
            <w:rPr>
              <w:rFonts w:ascii="Times New Roman" w:hAnsi="Times New Roman"/>
              <w:color w:val="000000"/>
              <w:sz w:val="28"/>
              <w:szCs w:val="28"/>
            </w:rPr>
            <w:t>Реализация мер по дальнейшему сокращению аварийного жилищного фонда.</w:t>
          </w:r>
        </w:p>
        <w:p w:rsidR="008E239A" w:rsidRDefault="008E239A">
          <w:pPr>
            <w:suppressAutoHyphens/>
            <w:ind w:firstLine="709"/>
            <w:contextualSpacing/>
            <w:jc w:val="both"/>
            <w:rPr>
              <w:color w:val="000000" w:themeColor="text1"/>
            </w:rPr>
          </w:pPr>
        </w:p>
        <w:p w:rsidR="008E239A" w:rsidRDefault="00D61E62">
          <w:pPr>
            <w:pStyle w:val="aff7"/>
            <w:suppressAutoHyphens/>
            <w:spacing w:after="120" w:line="240" w:lineRule="auto"/>
            <w:ind w:left="0"/>
            <w:jc w:val="center"/>
          </w:pPr>
          <w:r>
            <w:rPr>
              <w:rFonts w:ascii="Times New Roman" w:hAnsi="Times New Roman"/>
              <w:b/>
              <w:sz w:val="28"/>
              <w:szCs w:val="28"/>
            </w:rPr>
            <w:t>7. ЖИЛИЩНО-КОММУНАЛЬНОЕ ХОЗЯЙСТВО</w:t>
          </w:r>
        </w:p>
        <w:p w:rsidR="008E239A" w:rsidRDefault="00D61E62">
          <w:pPr>
            <w:pBdr>
              <w:bottom w:val="single" w:sz="4" w:space="0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>В целях стабилизации ситуации в сфере жилищно-коммунального хозяйства региона в рамках государственной программы «Развитие топливно-энергетического комплекса и жилищно-коммунального хозяйства Брянской области» осуществляется реализация мероприятий по капит</w:t>
          </w:r>
          <w:r>
            <w:rPr>
              <w:color w:val="000000"/>
            </w:rPr>
            <w:t xml:space="preserve">альному ремонту объектов жилищно-коммунального комплекса, находящихся в муниципальной собственности, в целях их подготовки к зиме.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color w:val="000000"/>
              <w:spacing w:val="2"/>
            </w:rPr>
            <w:t xml:space="preserve">В 2023 году в рамках </w:t>
          </w:r>
          <w:r>
            <w:rPr>
              <w:color w:val="000000"/>
            </w:rPr>
            <w:t xml:space="preserve">мероприятий по капитальному ремонту объектов жилищно-коммунального комплекса, </w:t>
          </w:r>
          <w:r>
            <w:rPr>
              <w:color w:val="000000"/>
              <w:spacing w:val="2"/>
            </w:rPr>
            <w:t>находящихся в муниципальн</w:t>
          </w:r>
          <w:r>
            <w:rPr>
              <w:color w:val="000000"/>
              <w:spacing w:val="2"/>
            </w:rPr>
            <w:t xml:space="preserve">ой собственности, в целях их подготовки к зиме </w:t>
          </w:r>
          <w:r>
            <w:rPr>
              <w:color w:val="000000"/>
              <w:spacing w:val="2"/>
            </w:rPr>
            <w:t>произведен</w:t>
          </w:r>
          <w:r>
            <w:rPr>
              <w:color w:val="000000"/>
              <w:spacing w:val="2"/>
            </w:rPr>
            <w:t xml:space="preserve"> капитальный ремонт </w:t>
          </w:r>
          <w:r>
            <w:rPr>
              <w:color w:val="000000"/>
            </w:rPr>
            <w:t>56 объектов в</w:t>
          </w:r>
          <w:r>
            <w:rPr>
              <w:color w:val="000000"/>
            </w:rPr>
            <w:t xml:space="preserve"> 25 муниципальных образованиях области. О</w:t>
          </w:r>
          <w:r>
            <w:rPr>
              <w:color w:val="000000"/>
            </w:rPr>
            <w:t>тремонтированы тепловые, водопроводные и канализационные сети, канализационные коллектора, насосные станции, артезианские скв</w:t>
          </w:r>
          <w:r>
            <w:rPr>
              <w:color w:val="000000"/>
            </w:rPr>
            <w:t>ажин и водонапорные башни.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 xml:space="preserve">За последние пять лет (2019-2023 годы) заменено более </w:t>
          </w:r>
          <w:r>
            <w:rPr>
              <w:color w:val="000000"/>
            </w:rPr>
            <w:t xml:space="preserve">458,5 </w:t>
          </w:r>
          <w:r>
            <w:rPr>
              <w:color w:val="000000"/>
            </w:rPr>
            <w:t xml:space="preserve">км тепловых сетей, отработавших нормативный срок эксплуатации, в том числе более </w:t>
          </w:r>
          <w:r>
            <w:rPr>
              <w:color w:val="000000"/>
            </w:rPr>
            <w:t>340</w:t>
          </w:r>
          <w:r>
            <w:rPr>
              <w:color w:val="000000"/>
            </w:rPr>
            <w:t xml:space="preserve"> км </w:t>
          </w:r>
          <w:r>
            <w:rPr>
              <w:color w:val="000000"/>
            </w:rPr>
            <w:lastRenderedPageBreak/>
            <w:t>тепловых сетей ГУП «Брянсккоммунэнерго». Проводимая работа позволила предотвратить нарастание физического износа тепловых сетей и как, следствие, повысить надежность теплоснабжения потребителей</w:t>
          </w:r>
        </w:p>
        <w:p w:rsidR="008E239A" w:rsidRDefault="00D61E62">
          <w:pPr>
            <w:pBdr>
              <w:bottom w:val="single" w:sz="4" w:space="31" w:color="FFFFFF"/>
            </w:pBdr>
            <w:tabs>
              <w:tab w:val="left" w:pos="5068"/>
              <w:tab w:val="left" w:pos="8184"/>
            </w:tabs>
            <w:suppressAutoHyphens/>
            <w:ind w:firstLine="709"/>
            <w:jc w:val="both"/>
          </w:pPr>
          <w:r>
            <w:rPr>
              <w:color w:val="000000"/>
            </w:rPr>
            <w:t xml:space="preserve">В рамках реализации мероприятий государственной программы </w:t>
          </w:r>
          <w:r>
            <w:rPr>
              <w:color w:val="000000"/>
            </w:rPr>
            <w:t xml:space="preserve">«Развитие топливно-энергетического комплекса и жилищно-коммунального хозяйства Брянской области» в 2023 году ГУП «Брянсккоммунэнерго» проведена реконструкция котельной по ул. Степной в г.Брянске, </w:t>
          </w:r>
          <w:r>
            <w:rPr>
              <w:color w:val="000000"/>
            </w:rPr>
            <w:t>что</w:t>
          </w:r>
          <w:r>
            <w:rPr>
              <w:color w:val="000000"/>
            </w:rPr>
            <w:t xml:space="preserve"> </w:t>
          </w:r>
          <w:r>
            <w:rPr>
              <w:color w:val="000000"/>
            </w:rPr>
            <w:t xml:space="preserve">обеспечило </w:t>
          </w:r>
          <w:r>
            <w:rPr>
              <w:color w:val="000000"/>
            </w:rPr>
            <w:t>существенное снижение рисков нештатных ситуац</w:t>
          </w:r>
          <w:r>
            <w:rPr>
              <w:color w:val="000000"/>
            </w:rPr>
            <w:t>ий, повысило безопасность и надежность безаварийной работы теплового хозяйства региона, снизило издержки, что в свою очередь высвобождает значительные средства для продолжения работы по реконструкции и техническому перевооружению тепло-сетевого хозяйства.</w:t>
          </w:r>
        </w:p>
        <w:p w:rsidR="008E239A" w:rsidRDefault="00D61E62">
          <w:pPr>
            <w:pStyle w:val="a1"/>
            <w:pBdr>
              <w:bottom w:val="single" w:sz="4" w:space="0" w:color="FFFFFF"/>
            </w:pBdr>
            <w:tabs>
              <w:tab w:val="left" w:pos="5068"/>
              <w:tab w:val="left" w:pos="8184"/>
            </w:tabs>
            <w:suppressAutoHyphens/>
            <w:spacing w:after="0"/>
            <w:ind w:firstLine="709"/>
            <w:jc w:val="both"/>
          </w:pPr>
          <w:r>
            <w:rPr>
              <w:sz w:val="28"/>
              <w:szCs w:val="28"/>
            </w:rPr>
            <w:t xml:space="preserve">В рамках </w:t>
          </w:r>
          <w:r>
            <w:rPr>
              <w:color w:val="000000"/>
              <w:sz w:val="28"/>
              <w:szCs w:val="28"/>
            </w:rPr>
            <w:t xml:space="preserve">реализации мероприятий </w:t>
          </w:r>
          <w:r>
            <w:rPr>
              <w:sz w:val="28"/>
              <w:szCs w:val="28"/>
            </w:rPr>
            <w:t xml:space="preserve">подпрограммы «Строительство и реконструкция очистных сооружений в населенных пунктах Брянской области» </w:t>
          </w:r>
          <w:r>
            <w:rPr>
              <w:color w:val="000000"/>
              <w:sz w:val="28"/>
              <w:szCs w:val="28"/>
            </w:rPr>
            <w:t>государственной программы «Развитие топливно-энергетического комплекса и жилищно-коммунального хозяйства Брянской области</w:t>
          </w:r>
          <w:r>
            <w:rPr>
              <w:color w:val="000000"/>
              <w:sz w:val="28"/>
              <w:szCs w:val="28"/>
            </w:rPr>
            <w:t xml:space="preserve">» </w:t>
          </w:r>
          <w:r>
            <w:rPr>
              <w:color w:val="000000"/>
              <w:sz w:val="28"/>
              <w:szCs w:val="28"/>
            </w:rPr>
            <w:t>за</w:t>
          </w:r>
          <w:r>
            <w:rPr>
              <w:color w:val="000000"/>
              <w:sz w:val="28"/>
              <w:szCs w:val="28"/>
            </w:rPr>
            <w:t xml:space="preserve"> 2019-2023 годы построено и реконструировано </w:t>
          </w:r>
          <w:r>
            <w:rPr>
              <w:color w:val="000000"/>
              <w:sz w:val="28"/>
              <w:szCs w:val="28"/>
            </w:rPr>
            <w:t>семь</w:t>
          </w:r>
          <w:r>
            <w:rPr>
              <w:color w:val="000000"/>
              <w:sz w:val="28"/>
              <w:szCs w:val="28"/>
            </w:rPr>
            <w:t xml:space="preserve"> объектов очистных сооружений. Построены очистные сооружения в г. Мглине, п. Рогнедино, п. Навле, проведены работы по реконструкции объектов в г. Клинцы, г.Трубчевске, п. Клетне, п. Суземке. </w:t>
          </w:r>
          <w:r>
            <w:rPr>
              <w:color w:val="000000"/>
              <w:sz w:val="28"/>
              <w:szCs w:val="28"/>
            </w:rPr>
            <w:t xml:space="preserve">В </w:t>
          </w:r>
          <w:r>
            <w:rPr>
              <w:sz w:val="28"/>
              <w:szCs w:val="28"/>
            </w:rPr>
            <w:t xml:space="preserve">2023 году </w:t>
          </w:r>
          <w:r>
            <w:rPr>
              <w:bCs/>
              <w:color w:val="000000"/>
              <w:sz w:val="28"/>
              <w:szCs w:val="28"/>
            </w:rPr>
            <w:t>велись</w:t>
          </w:r>
          <w:r>
            <w:rPr>
              <w:bCs/>
              <w:color w:val="000000"/>
              <w:sz w:val="28"/>
              <w:szCs w:val="28"/>
            </w:rPr>
            <w:t xml:space="preserve"> работы по строительству новых очистных сооружений в п. Локоть и в г. </w:t>
          </w:r>
          <w:r>
            <w:rPr>
              <w:bCs/>
              <w:color w:val="000000"/>
              <w:sz w:val="28"/>
              <w:szCs w:val="28"/>
            </w:rPr>
            <w:t>Навле (вторая очередь), которые продолжаться в 2024 году.</w:t>
          </w:r>
          <w:r>
            <w:rPr>
              <w:bCs/>
              <w:color w:val="000000"/>
              <w:sz w:val="28"/>
              <w:szCs w:val="28"/>
            </w:rPr>
            <w:t xml:space="preserve"> </w:t>
          </w:r>
        </w:p>
        <w:p w:rsidR="008E239A" w:rsidRDefault="00D61E62">
          <w:pPr>
            <w:pBdr>
              <w:bottom w:val="single" w:sz="4" w:space="31" w:color="FFFFFF"/>
            </w:pBdr>
            <w:tabs>
              <w:tab w:val="left" w:pos="5068"/>
              <w:tab w:val="left" w:pos="8184"/>
            </w:tabs>
            <w:suppressAutoHyphens/>
            <w:ind w:firstLine="709"/>
            <w:jc w:val="both"/>
          </w:pPr>
          <w:r>
            <w:rPr>
              <w:color w:val="000000"/>
            </w:rPr>
            <w:t>В рамках реализации мероприятий регионального проекта «Чистая вода (Брянская область)» национального проекта «Жилье и городская среда» в 2019-2023 годах введено 126 объектов. В рамках проекта построено (реконструировано) 408,049 км водопровода, пробурено 8</w:t>
          </w:r>
          <w:r>
            <w:rPr>
              <w:color w:val="000000"/>
            </w:rPr>
            <w:t xml:space="preserve">6 артезианских скважин, установлено 108 насосных станций и 73 водонапорных башен. </w:t>
          </w:r>
        </w:p>
        <w:p w:rsidR="008E239A" w:rsidRDefault="00D61E62">
          <w:pPr>
            <w:pBdr>
              <w:bottom w:val="single" w:sz="4" w:space="0" w:color="FFFFFF"/>
            </w:pBdr>
            <w:tabs>
              <w:tab w:val="left" w:pos="5068"/>
              <w:tab w:val="left" w:pos="8184"/>
            </w:tabs>
            <w:suppressAutoHyphens/>
            <w:ind w:firstLine="709"/>
            <w:jc w:val="both"/>
          </w:pPr>
          <w:r>
            <w:rPr>
              <w:color w:val="000000"/>
            </w:rPr>
            <w:t xml:space="preserve">В 2023 году на территории Брянской области в рамках проекта </w:t>
          </w:r>
          <w:r>
            <w:rPr>
              <w:bCs/>
              <w:color w:val="000000"/>
            </w:rPr>
            <w:t>введено 43</w:t>
          </w:r>
          <w:r>
            <w:rPr>
              <w:color w:val="000000"/>
            </w:rPr>
            <w:t xml:space="preserve"> объекта. Всего построено и реконструировано 123,5 км сетей водоснабжения, 30 артезианских скважин, 28 </w:t>
          </w:r>
          <w:r>
            <w:rPr>
              <w:color w:val="000000"/>
            </w:rPr>
            <w:t>водонапорных башен, 34 насосные станции.</w:t>
          </w:r>
        </w:p>
        <w:p w:rsidR="008E239A" w:rsidRDefault="008E239A">
          <w:pPr>
            <w:pBdr>
              <w:bottom w:val="single" w:sz="4" w:space="0" w:color="FFFFFF"/>
            </w:pBdr>
            <w:tabs>
              <w:tab w:val="left" w:pos="5068"/>
              <w:tab w:val="left" w:pos="8184"/>
            </w:tabs>
            <w:suppressAutoHyphens/>
            <w:ind w:firstLine="709"/>
            <w:jc w:val="both"/>
            <w:rPr>
              <w:color w:val="000000"/>
            </w:rPr>
          </w:pPr>
        </w:p>
        <w:p w:rsidR="008E239A" w:rsidRDefault="00D61E62">
          <w:pPr>
            <w:pStyle w:val="aff7"/>
            <w:suppressAutoHyphens/>
            <w:spacing w:after="120" w:line="240" w:lineRule="auto"/>
            <w:ind w:left="0" w:firstLine="709"/>
            <w:jc w:val="both"/>
          </w:pPr>
          <w:r>
            <w:rPr>
              <w:rFonts w:ascii="Times New Roman" w:hAnsi="Times New Roman"/>
              <w:b/>
              <w:sz w:val="28"/>
              <w:szCs w:val="28"/>
            </w:rPr>
            <w:t xml:space="preserve">27. </w:t>
          </w:r>
          <w:r>
            <w:rPr>
              <w:rFonts w:ascii="Times New Roman" w:hAnsi="Times New Roman"/>
              <w:b/>
              <w:color w:val="000000"/>
              <w:sz w:val="28"/>
              <w:szCs w:val="28"/>
            </w:rPr>
            <w:t>Доля многоквартирных домов, в которых собственники помещений выбрали и реализуют один из способов управления многоквартирными домами, в общем числе многоквартирных домов, в которых собственники помещений должны</w:t>
          </w:r>
          <w:r>
            <w:rPr>
              <w:rFonts w:ascii="Times New Roman" w:hAnsi="Times New Roman"/>
              <w:b/>
              <w:color w:val="000000"/>
              <w:sz w:val="28"/>
              <w:szCs w:val="28"/>
            </w:rPr>
            <w:t xml:space="preserve"> выбрать способ управления указанными домами (процентов)</w:t>
          </w:r>
        </w:p>
        <w:p w:rsidR="008E239A" w:rsidRDefault="00D61E62">
          <w:pPr>
            <w:pStyle w:val="aff7"/>
            <w:suppressAutoHyphens/>
            <w:spacing w:after="0" w:line="240" w:lineRule="auto"/>
            <w:ind w:left="0" w:firstLine="709"/>
            <w:jc w:val="both"/>
            <w:rPr>
              <w:rFonts w:ascii="Times New Roman" w:eastAsia="Times New Roman" w:hAnsi="Times New Roman"/>
              <w:color w:val="000000"/>
              <w:sz w:val="28"/>
              <w:szCs w:val="28"/>
              <w:lang w:eastAsia="ru-RU"/>
            </w:rPr>
          </w:pPr>
          <w:r>
            <w:rPr>
              <w:rFonts w:ascii="Times New Roman" w:eastAsia="Times New Roman" w:hAnsi="Times New Roman"/>
              <w:color w:val="000000"/>
              <w:sz w:val="28"/>
              <w:szCs w:val="28"/>
              <w:lang w:eastAsia="ru-RU"/>
            </w:rPr>
            <w:t>Управление многоквартирным домом обеспечивает благоприятные и безопасные условия проживания граждан, надлежащее содержание общего имущества в многоквартирном доме, решение вопроса использования указа</w:t>
          </w:r>
          <w:r>
            <w:rPr>
              <w:rFonts w:ascii="Times New Roman" w:eastAsia="Times New Roman" w:hAnsi="Times New Roman"/>
              <w:color w:val="000000"/>
              <w:sz w:val="28"/>
              <w:szCs w:val="28"/>
              <w:lang w:eastAsia="ru-RU"/>
            </w:rPr>
            <w:t>нного имущества, а также предоставление коммунальных услуг гражданам, проживающим в таком доме.</w:t>
          </w:r>
        </w:p>
        <w:p w:rsidR="008E239A" w:rsidRDefault="00D61E62">
          <w:pPr>
            <w:pBdr>
              <w:bottom w:val="single" w:sz="4" w:space="31" w:color="FFFFFF"/>
            </w:pBdr>
            <w:tabs>
              <w:tab w:val="left" w:pos="5068"/>
              <w:tab w:val="left" w:pos="8184"/>
            </w:tabs>
            <w:suppressAutoHyphens/>
            <w:ind w:firstLine="709"/>
            <w:jc w:val="both"/>
          </w:pPr>
          <w:r>
            <w:lastRenderedPageBreak/>
            <w:t xml:space="preserve">В 2023 году доля многоквартирных домов в среднем по Брянской области, где выбран один из способов управления, составила </w:t>
          </w:r>
          <w:r>
            <w:rPr>
              <w:color w:val="000000"/>
            </w:rPr>
            <w:t>97,45%</w:t>
          </w:r>
          <w:r>
            <w:t>.</w:t>
          </w:r>
        </w:p>
        <w:p w:rsidR="008E239A" w:rsidRDefault="00D61E62">
          <w:pPr>
            <w:pBdr>
              <w:bottom w:val="single" w:sz="4" w:space="0" w:color="FFFFFF"/>
            </w:pBdr>
            <w:tabs>
              <w:tab w:val="left" w:pos="5068"/>
              <w:tab w:val="left" w:pos="8184"/>
            </w:tabs>
            <w:suppressAutoHyphens/>
            <w:ind w:firstLine="709"/>
            <w:jc w:val="both"/>
          </w:pPr>
          <w:r>
            <w:rPr>
              <w:color w:val="000000"/>
            </w:rPr>
            <w:t xml:space="preserve">В 2023 году в </w:t>
          </w:r>
          <w:r>
            <w:rPr>
              <w:color w:val="000000"/>
            </w:rPr>
            <w:t>17</w:t>
          </w:r>
          <w:r>
            <w:rPr>
              <w:color w:val="000000"/>
            </w:rPr>
            <w:t xml:space="preserve"> муниципальных образованиях </w:t>
          </w:r>
          <w:r>
            <w:rPr>
              <w:color w:val="000000"/>
            </w:rPr>
            <w:t>Брян</w:t>
          </w:r>
          <w:r>
            <w:rPr>
              <w:color w:val="000000"/>
            </w:rPr>
            <w:t>ской области и в городском округе г. Сельцо доля многоквартирных домов, в которых собственники помещений выбрали и реализуют один из способов управления домами, в общем числе многоквартирных домов, в которых собственники пом</w:t>
          </w:r>
          <w:r>
            <w:rPr>
              <w:color w:val="000000"/>
            </w:rPr>
            <w:t>ещений должны выбрать способ управления данными домами, составила 100%.</w:t>
          </w:r>
        </w:p>
        <w:p w:rsidR="008E239A" w:rsidRDefault="00D61E62">
          <w:pPr>
            <w:pBdr>
              <w:bottom w:val="single" w:sz="4" w:space="0" w:color="FFFFFF"/>
            </w:pBdr>
            <w:tabs>
              <w:tab w:val="left" w:pos="5068"/>
              <w:tab w:val="left" w:pos="8184"/>
            </w:tabs>
            <w:suppressAutoHyphens/>
            <w:ind w:firstLine="709"/>
            <w:jc w:val="both"/>
          </w:pPr>
          <w:r>
            <w:rPr>
              <w:color w:val="000000"/>
            </w:rPr>
            <w:t xml:space="preserve">В девяти районах (Брасовском, Брянском, Карачевском, Климовском, Комаричском, Рогнединском, Севском, Унечском, Стародубском муниципальном округе), и в четырех </w:t>
          </w:r>
          <w:r>
            <w:rPr>
              <w:color w:val="000000"/>
            </w:rPr>
            <w:t>городских округах (г. Бря</w:t>
          </w:r>
          <w:r>
            <w:rPr>
              <w:color w:val="000000"/>
            </w:rPr>
            <w:t xml:space="preserve">нск,г. Клинцы, г. Новозыбков, г. Фокино) </w:t>
          </w:r>
          <w:r>
            <w:rPr>
              <w:color w:val="000000"/>
            </w:rPr>
            <w:t xml:space="preserve"> – менее 100%.</w:t>
          </w:r>
        </w:p>
        <w:p w:rsidR="008E239A" w:rsidRDefault="008E239A">
          <w:pPr>
            <w:pBdr>
              <w:bottom w:val="single" w:sz="4" w:space="0" w:color="FFFFFF"/>
            </w:pBdr>
            <w:tabs>
              <w:tab w:val="left" w:pos="5068"/>
              <w:tab w:val="left" w:pos="8184"/>
            </w:tabs>
            <w:suppressAutoHyphens/>
            <w:ind w:left="45" w:firstLine="675"/>
            <w:jc w:val="both"/>
          </w:pPr>
        </w:p>
        <w:p w:rsidR="008E239A" w:rsidRDefault="00D61E62">
          <w:pPr>
            <w:pBdr>
              <w:bottom w:val="single" w:sz="4" w:space="0" w:color="FFFFFF"/>
            </w:pBdr>
            <w:tabs>
              <w:tab w:val="left" w:pos="5068"/>
              <w:tab w:val="left" w:pos="8184"/>
            </w:tabs>
            <w:suppressAutoHyphens/>
            <w:ind w:left="45" w:firstLine="675"/>
            <w:jc w:val="both"/>
          </w:pPr>
          <w:r>
            <w:rPr>
              <w:b/>
            </w:rPr>
            <w:t>28. Доля организаций коммунального комплекса, осуществляющих производство товаров, оказание услуг по водо-, тепло-, газо-, энергоснабжению, водоотведению, очистке сточных вод, утилизации (захоронению</w:t>
          </w:r>
          <w:r>
            <w:rPr>
              <w:b/>
            </w:rPr>
            <w:t>) твердых бытовых отходов и использующих объекты коммунальной инфраструктуры на праве частной собственности, по договору аренды или концессии, участие субъекта Российской Федерации и (или) городского округа (муниципального района) в уставном капитале котор</w:t>
          </w:r>
          <w:r>
            <w:rPr>
              <w:b/>
            </w:rPr>
            <w:t>ых составляет не более 25 процентов, в общем числе организаций коммунального комплекса, осуществляющих свою деятельность на территории городского округа (муниципального района) (процентов)</w:t>
          </w:r>
        </w:p>
        <w:p w:rsidR="008E239A" w:rsidRDefault="00D61E62">
          <w:pPr>
            <w:pBdr>
              <w:bottom w:val="single" w:sz="4" w:space="0" w:color="FFFFFF"/>
            </w:pBdr>
            <w:tabs>
              <w:tab w:val="left" w:pos="5068"/>
              <w:tab w:val="left" w:pos="8184"/>
            </w:tabs>
            <w:suppressAutoHyphens/>
            <w:ind w:firstLine="709"/>
            <w:jc w:val="both"/>
          </w:pPr>
          <w:r>
            <w:t>В</w:t>
          </w:r>
          <w:r>
            <w:rPr>
              <w:i/>
            </w:rPr>
            <w:t xml:space="preserve"> </w:t>
          </w:r>
          <w:r>
            <w:t xml:space="preserve">2023 году показатель в целом по области составил </w:t>
          </w:r>
          <w:r>
            <w:rPr>
              <w:color w:val="000000"/>
            </w:rPr>
            <w:t>34,25</w:t>
          </w:r>
          <w:r>
            <w:t>% (в 2022 г</w:t>
          </w:r>
          <w:r>
            <w:t xml:space="preserve">оду – </w:t>
          </w:r>
          <w:r>
            <w:rPr>
              <w:color w:val="000000"/>
            </w:rPr>
            <w:t>35,11</w:t>
          </w:r>
          <w:r>
            <w:t xml:space="preserve">%). </w:t>
          </w:r>
        </w:p>
        <w:p w:rsidR="008E239A" w:rsidRDefault="00D61E62">
          <w:pPr>
            <w:pBdr>
              <w:bottom w:val="single" w:sz="4" w:space="0" w:color="FFFFFF"/>
            </w:pBdr>
            <w:tabs>
              <w:tab w:val="left" w:pos="5068"/>
              <w:tab w:val="left" w:pos="8184"/>
            </w:tabs>
            <w:suppressAutoHyphens/>
            <w:ind w:firstLine="709"/>
            <w:jc w:val="both"/>
          </w:pPr>
          <w:r>
            <w:rPr>
              <w:color w:val="000000"/>
              <w:szCs w:val="27"/>
            </w:rPr>
            <w:t>В</w:t>
          </w:r>
          <w:r>
            <w:rPr>
              <w:szCs w:val="27"/>
            </w:rPr>
            <w:t xml:space="preserve"> городском округе г.Сельцо, в Клинцовском муниципальном районе з</w:t>
          </w:r>
          <w:r>
            <w:rPr>
              <w:color w:val="000000"/>
              <w:szCs w:val="27"/>
            </w:rPr>
            <w:t xml:space="preserve">начение данного показателя составило </w:t>
          </w:r>
          <w:r>
            <w:rPr>
              <w:szCs w:val="27"/>
            </w:rPr>
            <w:t>100%.</w:t>
          </w:r>
        </w:p>
        <w:p w:rsidR="008E239A" w:rsidRDefault="00D61E62">
          <w:pPr>
            <w:pBdr>
              <w:bottom w:val="single" w:sz="4" w:space="0" w:color="FFFFFF"/>
            </w:pBdr>
            <w:tabs>
              <w:tab w:val="left" w:pos="5068"/>
              <w:tab w:val="left" w:pos="8184"/>
            </w:tabs>
            <w:suppressAutoHyphens/>
            <w:ind w:firstLine="709"/>
            <w:jc w:val="both"/>
          </w:pPr>
          <w:r>
            <w:rPr>
              <w:szCs w:val="27"/>
            </w:rPr>
            <w:t>В городском округе г. Брянск показатель составил 83,9 процента.</w:t>
          </w:r>
        </w:p>
        <w:p w:rsidR="008E239A" w:rsidRDefault="00D61E62">
          <w:pPr>
            <w:pStyle w:val="aff9"/>
            <w:suppressAutoHyphens/>
            <w:ind w:firstLine="709"/>
            <w:jc w:val="both"/>
          </w:pPr>
          <w:r>
            <w:rPr>
              <w:rFonts w:ascii="Times New Roman" w:hAnsi="Times New Roman" w:cs="Times New Roman"/>
              <w:sz w:val="28"/>
              <w:szCs w:val="28"/>
            </w:rPr>
            <w:t xml:space="preserve">В 12 муниципальных районах (в </w:t>
          </w:r>
          <w:r>
            <w:rPr>
              <w:rFonts w:ascii="Times New Roman" w:hAnsi="Times New Roman" w:cs="Times New Roman"/>
              <w:color w:val="000000"/>
              <w:sz w:val="28"/>
              <w:szCs w:val="28"/>
            </w:rPr>
            <w:t>городских округах г.</w:t>
          </w:r>
          <w:r>
            <w:rPr>
              <w:rFonts w:ascii="Times New Roman" w:hAnsi="Times New Roman" w:cs="Times New Roman"/>
              <w:sz w:val="28"/>
              <w:szCs w:val="28"/>
            </w:rPr>
            <w:t xml:space="preserve"> Новозыбков, г.Клинцы, г. Фокино, в Брянском, Гордеевском, Дубровском, Карачевском, Рогнединском, Суземском, Суражском районах, в Жуковском, Стародубском </w:t>
          </w:r>
          <w:r>
            <w:rPr>
              <w:rFonts w:ascii="Times New Roman" w:hAnsi="Times New Roman" w:cs="Times New Roman"/>
              <w:color w:val="000000"/>
              <w:sz w:val="28"/>
              <w:szCs w:val="28"/>
            </w:rPr>
            <w:t>муниципальных округах</w:t>
          </w:r>
          <w:r>
            <w:rPr>
              <w:rFonts w:ascii="Times New Roman" w:hAnsi="Times New Roman" w:cs="Times New Roman"/>
              <w:sz w:val="28"/>
              <w:szCs w:val="28"/>
            </w:rPr>
            <w:t>) доля участия государственного (муниципального) имущества в уставном капитале ор</w:t>
          </w:r>
          <w:r>
            <w:rPr>
              <w:rFonts w:ascii="Times New Roman" w:hAnsi="Times New Roman" w:cs="Times New Roman"/>
              <w:sz w:val="28"/>
              <w:szCs w:val="28"/>
            </w:rPr>
            <w:t xml:space="preserve">ганизаций коммунального комплекса, и использующих объекты коммунальной инфраструктуры на праве частной собственности, по договору аренды или концессии составляет от 50% до 75%; в </w:t>
          </w:r>
          <w:r>
            <w:rPr>
              <w:rFonts w:ascii="Times New Roman" w:hAnsi="Times New Roman" w:cs="Times New Roman"/>
              <w:color w:val="000000"/>
              <w:sz w:val="28"/>
              <w:szCs w:val="28"/>
            </w:rPr>
            <w:t>трех</w:t>
          </w:r>
          <w:r>
            <w:rPr>
              <w:rFonts w:ascii="Times New Roman" w:hAnsi="Times New Roman" w:cs="Times New Roman"/>
              <w:sz w:val="28"/>
              <w:szCs w:val="28"/>
            </w:rPr>
            <w:t xml:space="preserve"> муниципальных образованиях области (Дятьковском, Климовском, Комаричском</w:t>
          </w:r>
          <w:r>
            <w:rPr>
              <w:rFonts w:ascii="Times New Roman" w:hAnsi="Times New Roman" w:cs="Times New Roman"/>
              <w:sz w:val="28"/>
              <w:szCs w:val="28"/>
            </w:rPr>
            <w:t xml:space="preserve">) </w:t>
          </w:r>
          <w:r>
            <w:rPr>
              <w:rFonts w:ascii="Times New Roman" w:hAnsi="Times New Roman" w:cs="Times New Roman"/>
              <w:color w:val="000000"/>
              <w:sz w:val="28"/>
              <w:szCs w:val="28"/>
            </w:rPr>
            <w:t>-</w:t>
          </w:r>
          <w:r>
            <w:rPr>
              <w:rFonts w:ascii="Times New Roman" w:hAnsi="Times New Roman" w:cs="Times New Roman"/>
              <w:sz w:val="28"/>
              <w:szCs w:val="28"/>
            </w:rPr>
            <w:t xml:space="preserve"> от 30% до 33,3 %. </w:t>
          </w:r>
        </w:p>
        <w:p w:rsidR="008E239A" w:rsidRDefault="00D61E62">
          <w:pPr>
            <w:pStyle w:val="aff9"/>
            <w:suppressAutoHyphens/>
            <w:ind w:firstLine="709"/>
            <w:jc w:val="both"/>
          </w:pPr>
          <w:r>
            <w:rPr>
              <w:rFonts w:ascii="Times New Roman" w:hAnsi="Times New Roman" w:cs="Times New Roman"/>
              <w:sz w:val="28"/>
              <w:szCs w:val="28"/>
            </w:rPr>
            <w:t xml:space="preserve">В группе муниципальных районов в </w:t>
          </w:r>
          <w:r>
            <w:rPr>
              <w:rFonts w:ascii="Times New Roman" w:hAnsi="Times New Roman" w:cs="Times New Roman"/>
              <w:color w:val="000000"/>
              <w:sz w:val="28"/>
              <w:szCs w:val="28"/>
            </w:rPr>
            <w:t>Брасовском, Выгоничском, Жирятинском, Злынковском</w:t>
          </w:r>
          <w:r>
            <w:rPr>
              <w:rFonts w:ascii="Times New Roman" w:hAnsi="Times New Roman" w:cs="Times New Roman"/>
              <w:sz w:val="28"/>
              <w:szCs w:val="28"/>
            </w:rPr>
            <w:t xml:space="preserve">, Клетнянском, Красногорском, </w:t>
          </w:r>
          <w:r>
            <w:rPr>
              <w:rFonts w:ascii="Times New Roman" w:hAnsi="Times New Roman" w:cs="Times New Roman"/>
              <w:color w:val="000000"/>
              <w:sz w:val="28"/>
              <w:szCs w:val="28"/>
            </w:rPr>
            <w:t>Мглинском</w:t>
          </w:r>
          <w:r>
            <w:rPr>
              <w:rFonts w:ascii="Times New Roman" w:hAnsi="Times New Roman" w:cs="Times New Roman"/>
              <w:sz w:val="28"/>
              <w:szCs w:val="28"/>
            </w:rPr>
            <w:t xml:space="preserve">, Навлинском, Погарском, Почепском, </w:t>
          </w:r>
          <w:r>
            <w:rPr>
              <w:rFonts w:ascii="Times New Roman" w:hAnsi="Times New Roman" w:cs="Times New Roman"/>
              <w:color w:val="000000"/>
              <w:sz w:val="28"/>
              <w:szCs w:val="28"/>
            </w:rPr>
            <w:t>Севском</w:t>
          </w:r>
          <w:r>
            <w:rPr>
              <w:rFonts w:ascii="Times New Roman" w:hAnsi="Times New Roman" w:cs="Times New Roman"/>
              <w:sz w:val="28"/>
              <w:szCs w:val="28"/>
            </w:rPr>
            <w:t>, Трубчевском, Унечском районах в 2023 году доля участия государствен</w:t>
          </w:r>
          <w:r>
            <w:rPr>
              <w:rFonts w:ascii="Times New Roman" w:hAnsi="Times New Roman" w:cs="Times New Roman"/>
              <w:sz w:val="28"/>
              <w:szCs w:val="28"/>
            </w:rPr>
            <w:t>ного (муниципального) имущества в уставном капитале организаций коммунального комплекса, и использующих объекты коммунальной инфраструктуры на праве частной собственности, по договору аренды или концессии</w:t>
          </w:r>
          <w:r>
            <w:rPr>
              <w:rFonts w:ascii="Times New Roman" w:hAnsi="Times New Roman" w:cs="Times New Roman"/>
              <w:sz w:val="28"/>
              <w:szCs w:val="28"/>
            </w:rPr>
            <w:t xml:space="preserve"> участие субъекта Российской Федерации и (или) город</w:t>
          </w:r>
          <w:r>
            <w:rPr>
              <w:rFonts w:ascii="Times New Roman" w:hAnsi="Times New Roman" w:cs="Times New Roman"/>
              <w:sz w:val="28"/>
              <w:szCs w:val="28"/>
            </w:rPr>
            <w:t xml:space="preserve">ского </w:t>
          </w:r>
          <w:r>
            <w:rPr>
              <w:rFonts w:ascii="Times New Roman" w:hAnsi="Times New Roman" w:cs="Times New Roman"/>
              <w:sz w:val="28"/>
              <w:szCs w:val="28"/>
            </w:rPr>
            <w:lastRenderedPageBreak/>
            <w:t>округа (муниципального района) в уставном капитале которых составляет не более 25 процентов, в общем числе организаций коммунального комплекса, осуществляющих свою деятельность на территории городского округа (муниципального района) отсутствовала.</w:t>
          </w: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D61E62">
          <w:pPr>
            <w:pStyle w:val="aff9"/>
            <w:suppressAutoHyphens/>
            <w:ind w:firstLine="709"/>
            <w:jc w:val="both"/>
          </w:pPr>
          <w:r>
            <w:rPr>
              <w:rFonts w:ascii="Times New Roman" w:hAnsi="Times New Roman" w:cs="Times New Roman"/>
              <w:b/>
              <w:spacing w:val="-4"/>
              <w:sz w:val="28"/>
              <w:szCs w:val="28"/>
            </w:rPr>
            <w:t>29. Доля многоквартирных домов, расположенных на земельных участках, в отношении которых осуществлен государственный кадастровый учет (процентов)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spacing w:val="-4"/>
            </w:rPr>
            <w:t xml:space="preserve">По результатам 2023 года </w:t>
          </w:r>
          <w:r>
            <w:rPr>
              <w:color w:val="000000"/>
              <w:spacing w:val="-4"/>
            </w:rPr>
            <w:t>в группе</w:t>
          </w:r>
          <w:r>
            <w:rPr>
              <w:spacing w:val="-4"/>
            </w:rPr>
            <w:t xml:space="preserve"> городских округов завершены мероприятия в г.Клинцы (100%), не завершены - в </w:t>
          </w:r>
          <w:r>
            <w:rPr>
              <w:spacing w:val="-4"/>
            </w:rPr>
            <w:t>г. Сельцо (99,0%), г. Новозыбкове (96,0%), г.Брянске (90,8%), г. Фокино (68,7%).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spacing w:val="-4"/>
            </w:rPr>
            <w:t xml:space="preserve">В группе муниципальных районов завершены мероприятия в Брянском, Гордеевском, Мглинском, Погарском, Суземском районах, Стародубском муниципальном округе.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spacing w:val="-4"/>
            </w:rPr>
            <w:t xml:space="preserve">Наибольшее значение показателя достигнуто в </w:t>
          </w:r>
          <w:r>
            <w:rPr>
              <w:color w:val="000000"/>
              <w:spacing w:val="-4"/>
            </w:rPr>
            <w:t xml:space="preserve">Рогнединском </w:t>
          </w:r>
          <w:r>
            <w:rPr>
              <w:spacing w:val="-4"/>
            </w:rPr>
            <w:t xml:space="preserve">(99,0%), Красногорском (95,0%), Комаричском (91,14%) муниципальных районах. Наименьшее значение показателя - в Жуковском муниципальном </w:t>
          </w:r>
          <w:r>
            <w:rPr>
              <w:color w:val="000000"/>
              <w:spacing w:val="-4"/>
            </w:rPr>
            <w:t>округе</w:t>
          </w:r>
          <w:r>
            <w:rPr>
              <w:spacing w:val="-4"/>
            </w:rPr>
            <w:t xml:space="preserve"> (27,3%).</w:t>
          </w: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b/>
              <w:spacing w:val="-4"/>
            </w:rPr>
            <w:t>30. Доля населения, получившего жилые помещен</w:t>
          </w:r>
          <w:r>
            <w:rPr>
              <w:b/>
              <w:spacing w:val="-4"/>
            </w:rPr>
            <w:t>ия и улучшившего жилищные условия в отчетном году, в общей численности населения, состоящего на учете в качестве нуждающегося в жилых помещениях (процентов)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color w:val="000000"/>
              <w:spacing w:val="-4"/>
            </w:rPr>
            <w:t>В 2023 году доля населения, получившего жилые помещения и улучшившего жилищные условия в отчетном г</w:t>
          </w:r>
          <w:r>
            <w:rPr>
              <w:color w:val="000000"/>
              <w:spacing w:val="-4"/>
            </w:rPr>
            <w:t xml:space="preserve">оду, варьируется от 0,07% в </w:t>
          </w:r>
          <w:r>
            <w:rPr>
              <w:color w:val="000000"/>
              <w:spacing w:val="-4"/>
            </w:rPr>
            <w:t>Погарском муниципальном районе</w:t>
          </w:r>
          <w:r>
            <w:rPr>
              <w:color w:val="000000"/>
              <w:spacing w:val="-4"/>
            </w:rPr>
            <w:t xml:space="preserve"> до </w:t>
          </w:r>
          <w:r>
            <w:rPr>
              <w:color w:val="000000"/>
              <w:spacing w:val="-4"/>
            </w:rPr>
            <w:t>92,0</w:t>
          </w:r>
          <w:r>
            <w:rPr>
              <w:color w:val="000000"/>
              <w:spacing w:val="-4"/>
            </w:rPr>
            <w:t xml:space="preserve">% в </w:t>
          </w:r>
          <w:r>
            <w:rPr>
              <w:color w:val="000000"/>
              <w:spacing w:val="-4"/>
            </w:rPr>
            <w:t>Гордеевском муниципальном районе</w:t>
          </w:r>
          <w:r>
            <w:rPr>
              <w:color w:val="000000"/>
              <w:spacing w:val="-4"/>
            </w:rPr>
            <w:t>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color w:val="000000"/>
              <w:spacing w:val="-4"/>
            </w:rPr>
            <w:t xml:space="preserve">Лидерами по </w:t>
          </w:r>
          <w:r>
            <w:rPr>
              <w:color w:val="000000"/>
              <w:spacing w:val="-4"/>
            </w:rPr>
            <w:t>анализируемому</w:t>
          </w:r>
          <w:r>
            <w:rPr>
              <w:color w:val="000000"/>
              <w:spacing w:val="-4"/>
            </w:rPr>
            <w:t xml:space="preserve"> показателю как и в 2022 году в группе муниципальных районов </w:t>
          </w:r>
          <w:r>
            <w:rPr>
              <w:color w:val="000000"/>
              <w:spacing w:val="-4"/>
            </w:rPr>
            <w:t>являются</w:t>
          </w:r>
          <w:r>
            <w:rPr>
              <w:color w:val="000000"/>
              <w:spacing w:val="-4"/>
            </w:rPr>
            <w:t xml:space="preserve"> Гордеевский (92,0%), </w:t>
          </w:r>
          <w:r>
            <w:rPr>
              <w:color w:val="000000"/>
              <w:spacing w:val="-4"/>
            </w:rPr>
            <w:t>Красногорский</w:t>
          </w:r>
          <w:r>
            <w:rPr>
              <w:color w:val="000000"/>
              <w:spacing w:val="-4"/>
            </w:rPr>
            <w:t xml:space="preserve"> (</w:t>
          </w:r>
          <w:r>
            <w:rPr>
              <w:color w:val="000000"/>
              <w:spacing w:val="-4"/>
            </w:rPr>
            <w:t>50,0</w:t>
          </w:r>
          <w:r>
            <w:rPr>
              <w:color w:val="000000"/>
              <w:spacing w:val="-4"/>
            </w:rPr>
            <w:t xml:space="preserve">%) </w:t>
          </w:r>
          <w:r>
            <w:rPr>
              <w:color w:val="000000"/>
              <w:spacing w:val="-4"/>
            </w:rPr>
            <w:t>Суземский</w:t>
          </w:r>
          <w:r>
            <w:rPr>
              <w:color w:val="000000"/>
              <w:spacing w:val="-4"/>
            </w:rPr>
            <w:t xml:space="preserve"> (</w:t>
          </w:r>
          <w:r>
            <w:rPr>
              <w:color w:val="000000"/>
              <w:spacing w:val="-4"/>
            </w:rPr>
            <w:t>37</w:t>
          </w:r>
          <w:r>
            <w:rPr>
              <w:color w:val="000000"/>
              <w:spacing w:val="-4"/>
            </w:rPr>
            <w:t>,1</w:t>
          </w:r>
          <w:r>
            <w:rPr>
              <w:color w:val="000000"/>
              <w:spacing w:val="-4"/>
            </w:rPr>
            <w:t xml:space="preserve">%) районы.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color w:val="000000"/>
              <w:spacing w:val="-4"/>
            </w:rPr>
            <w:t xml:space="preserve">В группе городских округов наибольшее значение показателя сложилось в г.Сельцо (20,6%), г. Брянске (4,8%), г. Новозыбкове (4,2%).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color w:val="000000"/>
              <w:spacing w:val="-4"/>
            </w:rPr>
            <w:t>В 21 муниципальном образовании доля населения, получившего жилые помещения и улучшившего жилищные условия в 202</w:t>
          </w:r>
          <w:r>
            <w:rPr>
              <w:color w:val="000000"/>
              <w:spacing w:val="-4"/>
            </w:rPr>
            <w:t>3 году, в общей численности населения, состоящего на учете в качестве нуждающегося в жилых помещениях, составила менее 15%.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color w:val="000000"/>
              <w:spacing w:val="-4"/>
            </w:rPr>
            <w:t>Наименьшие значения показателя сложились в Погарском (0,07%), Злынковском (1,0%), Дятьковском (1,6%) районах.</w:t>
          </w:r>
          <w:r>
            <w:tab/>
          </w:r>
        </w:p>
        <w:p w:rsidR="008E239A" w:rsidRDefault="008E239A">
          <w:pPr>
            <w:jc w:val="both"/>
          </w:pPr>
        </w:p>
        <w:p w:rsidR="008E239A" w:rsidRDefault="00D61E62">
          <w:pPr>
            <w:suppressAutoHyphens/>
            <w:ind w:firstLine="708"/>
            <w:jc w:val="center"/>
          </w:pPr>
          <w:r>
            <w:rPr>
              <w:u w:val="single"/>
            </w:rPr>
            <w:t>Перечень мероприятий</w:t>
          </w:r>
          <w:r>
            <w:rPr>
              <w:u w:val="single"/>
            </w:rPr>
            <w:t xml:space="preserve"> по повышению результативности деятельности органов местного самоуправления городских округов и муниципальных районов в сфере «Жилищно-коммунальное хозяйство»</w:t>
          </w:r>
        </w:p>
        <w:p w:rsidR="008E239A" w:rsidRDefault="008E239A">
          <w:pPr>
            <w:suppressAutoHyphens/>
            <w:ind w:firstLine="708"/>
            <w:jc w:val="center"/>
            <w:rPr>
              <w:u w:val="single"/>
            </w:rPr>
          </w:pPr>
        </w:p>
        <w:p w:rsidR="008E239A" w:rsidRDefault="00D61E62">
          <w:pPr>
            <w:pStyle w:val="aff7"/>
            <w:tabs>
              <w:tab w:val="left" w:pos="0"/>
              <w:tab w:val="left" w:pos="180"/>
              <w:tab w:val="left" w:pos="360"/>
            </w:tabs>
            <w:suppressAutoHyphens/>
            <w:spacing w:after="0" w:line="240" w:lineRule="auto"/>
            <w:ind w:left="0" w:firstLine="567"/>
            <w:jc w:val="both"/>
          </w:pPr>
          <w:r>
            <w:rPr>
              <w:rFonts w:ascii="Times New Roman" w:hAnsi="Times New Roman"/>
              <w:sz w:val="28"/>
              <w:szCs w:val="28"/>
            </w:rPr>
            <w:lastRenderedPageBreak/>
            <w:t>1. Повышению энергоэффективности за счет снижения теплопотерь при содержании жилищного фонда, ус</w:t>
          </w:r>
          <w:r>
            <w:rPr>
              <w:rFonts w:ascii="Times New Roman" w:hAnsi="Times New Roman"/>
              <w:sz w:val="28"/>
              <w:szCs w:val="28"/>
            </w:rPr>
            <w:t>тановки приборов учета потребляемых электроэнергии, тепла и воды.</w:t>
          </w:r>
        </w:p>
        <w:p w:rsidR="008E239A" w:rsidRDefault="00D61E62">
          <w:pPr>
            <w:pStyle w:val="aff7"/>
            <w:tabs>
              <w:tab w:val="left" w:pos="0"/>
              <w:tab w:val="left" w:pos="180"/>
              <w:tab w:val="left" w:pos="360"/>
            </w:tabs>
            <w:suppressAutoHyphens/>
            <w:spacing w:after="0" w:line="240" w:lineRule="auto"/>
            <w:ind w:left="0" w:firstLine="567"/>
            <w:jc w:val="both"/>
          </w:pPr>
          <w:r>
            <w:rPr>
              <w:rFonts w:ascii="Times New Roman" w:hAnsi="Times New Roman"/>
              <w:sz w:val="28"/>
              <w:szCs w:val="28"/>
            </w:rPr>
            <w:t>2. Продолжение реализации мероприятий по обеспечению жилыми помещениями и улучшению жилищных условий отдельных категорий граждан: молодых семей, детей-сирот и детей, оставшихся без попечения</w:t>
          </w:r>
          <w:r>
            <w:rPr>
              <w:rFonts w:ascii="Times New Roman" w:hAnsi="Times New Roman"/>
              <w:sz w:val="28"/>
              <w:szCs w:val="28"/>
            </w:rPr>
            <w:t xml:space="preserve"> родителей, ветеранов боевых действий, инвалидов и семьей, имеющих детей-инвалидов и др.</w:t>
          </w:r>
        </w:p>
        <w:p w:rsidR="008E239A" w:rsidRDefault="00D61E62">
          <w:pPr>
            <w:pStyle w:val="aff7"/>
            <w:tabs>
              <w:tab w:val="left" w:pos="0"/>
              <w:tab w:val="left" w:pos="180"/>
              <w:tab w:val="left" w:pos="360"/>
            </w:tabs>
            <w:suppressAutoHyphens/>
            <w:spacing w:after="0" w:line="240" w:lineRule="auto"/>
            <w:ind w:left="0" w:firstLine="567"/>
            <w:jc w:val="both"/>
          </w:pPr>
          <w:r>
            <w:rPr>
              <w:rFonts w:ascii="Times New Roman" w:hAnsi="Times New Roman"/>
              <w:sz w:val="28"/>
              <w:szCs w:val="28"/>
            </w:rPr>
            <w:t xml:space="preserve">3. </w:t>
          </w:r>
          <w:r>
            <w:rPr>
              <w:rFonts w:ascii="Times New Roman" w:hAnsi="Times New Roman"/>
              <w:color w:val="000000"/>
              <w:sz w:val="28"/>
              <w:szCs w:val="28"/>
            </w:rPr>
            <w:t>О</w:t>
          </w:r>
          <w:r>
            <w:rPr>
              <w:rFonts w:ascii="Times New Roman" w:hAnsi="Times New Roman"/>
              <w:sz w:val="28"/>
              <w:szCs w:val="28"/>
            </w:rPr>
            <w:t>существление постоянного контроля за ситуацией с расчетами за потребленные топливно-энергетические ресурсы, не допускать образования задолженности.</w:t>
          </w:r>
        </w:p>
        <w:p w:rsidR="008E239A" w:rsidRDefault="008E239A">
          <w:pPr>
            <w:pStyle w:val="aff7"/>
            <w:tabs>
              <w:tab w:val="left" w:pos="0"/>
              <w:tab w:val="left" w:pos="180"/>
              <w:tab w:val="left" w:pos="360"/>
            </w:tabs>
            <w:suppressAutoHyphens/>
            <w:spacing w:after="0" w:line="240" w:lineRule="auto"/>
            <w:ind w:left="0" w:firstLine="567"/>
            <w:jc w:val="both"/>
          </w:pPr>
        </w:p>
        <w:p w:rsidR="008E239A" w:rsidRDefault="00D61E62">
          <w:pPr>
            <w:pStyle w:val="aff7"/>
            <w:suppressAutoHyphens/>
            <w:spacing w:after="0" w:line="240" w:lineRule="auto"/>
            <w:ind w:left="709"/>
            <w:jc w:val="center"/>
          </w:pPr>
          <w:r>
            <w:rPr>
              <w:rFonts w:ascii="Times New Roman" w:hAnsi="Times New Roman"/>
              <w:b/>
              <w:sz w:val="28"/>
              <w:szCs w:val="28"/>
            </w:rPr>
            <w:t xml:space="preserve">ОРГАНИЗАЦИЯ </w:t>
          </w:r>
          <w:r>
            <w:rPr>
              <w:rFonts w:ascii="Times New Roman" w:hAnsi="Times New Roman"/>
              <w:b/>
              <w:sz w:val="28"/>
              <w:szCs w:val="28"/>
            </w:rPr>
            <w:t>МУНИЦИПАЛЬНОГО УПРАВЛЕНИЯ</w:t>
          </w:r>
        </w:p>
        <w:p w:rsidR="008E239A" w:rsidRDefault="008E239A">
          <w:pPr>
            <w:suppressAutoHyphens/>
            <w:rPr>
              <w:b/>
              <w:spacing w:val="-10"/>
              <w:lang w:eastAsia="en-US"/>
            </w:rPr>
          </w:pPr>
        </w:p>
        <w:p w:rsidR="008E239A" w:rsidRDefault="00D61E62">
          <w:pPr>
            <w:pStyle w:val="aff7"/>
            <w:suppressAutoHyphens/>
            <w:spacing w:after="0" w:line="240" w:lineRule="auto"/>
            <w:ind w:left="0" w:firstLine="709"/>
            <w:jc w:val="both"/>
          </w:pPr>
          <w:r>
            <w:rPr>
              <w:rFonts w:ascii="Times New Roman" w:eastAsia="Times New Roman" w:hAnsi="Times New Roman"/>
              <w:b/>
              <w:sz w:val="28"/>
              <w:szCs w:val="28"/>
              <w:lang w:eastAsia="ru-RU"/>
            </w:rPr>
            <w:t>31. Доля налоговых и неналоговых доходов местного бюджета (за исключением поступлений налоговых доходов по дополнительным нормативам отчислений) в общем объеме доходов бюджета муниципального образования (без учета субвенций)</w:t>
          </w:r>
        </w:p>
        <w:p w:rsidR="008E239A" w:rsidRDefault="00D61E62">
          <w:pPr>
            <w:suppressAutoHyphens/>
            <w:ind w:firstLine="709"/>
            <w:jc w:val="both"/>
          </w:pPr>
          <w:r>
            <w:t>Доля</w:t>
          </w:r>
          <w:r>
            <w:t xml:space="preserve"> налоговых и неналоговых доходов местных бюджетов в общей сумме собственных доходов в 2023 году в среднем по области составила </w:t>
          </w:r>
          <w:r>
            <w:rPr>
              <w:color w:val="000000"/>
            </w:rPr>
            <w:t>22,68%</w:t>
          </w:r>
          <w:r>
            <w:t xml:space="preserve">, что на </w:t>
          </w:r>
          <w:r>
            <w:rPr>
              <w:color w:val="000000"/>
            </w:rPr>
            <w:t>0,04</w:t>
          </w:r>
          <w:r>
            <w:t xml:space="preserve"> п.п. </w:t>
          </w:r>
          <w:r>
            <w:rPr>
              <w:color w:val="000000"/>
            </w:rPr>
            <w:t>меньше</w:t>
          </w:r>
          <w:r>
            <w:t xml:space="preserve"> уровня 2022 года.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color w:val="000000"/>
            </w:rPr>
            <w:t>В группе</w:t>
          </w:r>
          <w:r>
            <w:t xml:space="preserve"> городских округов наибольшая доля налоговых и неналоговых доходов мес</w:t>
          </w:r>
          <w:r>
            <w:t xml:space="preserve">тных бюджетов (за исключением поступлений налоговых доходов по дополнительным нормативам отчислений) в общем объеме собственных доходов бюджетов муниципальных образований (без учета субвенций) в 2023 году сложилось в г. </w:t>
          </w:r>
          <w:r>
            <w:rPr>
              <w:color w:val="000000"/>
            </w:rPr>
            <w:t>Брянске</w:t>
          </w:r>
          <w:r>
            <w:t xml:space="preserve"> – </w:t>
          </w:r>
          <w:r>
            <w:rPr>
              <w:color w:val="000000"/>
            </w:rPr>
            <w:t>27,91</w:t>
          </w:r>
          <w:r>
            <w:t>% , г. Сельцо — 24,9%</w:t>
          </w:r>
          <w:r>
            <w:t>, г. Новозыбкове — 24,18%. В группе муниципальных районов наибольшее значение показателя сложилось в Погарском — 47,1%, в Карачевском — 41,3%, Выгоничском — 36,8% районах.</w:t>
          </w:r>
        </w:p>
        <w:p w:rsidR="008E239A" w:rsidRDefault="00D61E62">
          <w:pPr>
            <w:suppressAutoHyphens/>
            <w:ind w:left="45" w:firstLine="675"/>
            <w:jc w:val="both"/>
          </w:pPr>
          <w:r>
            <w:t>Наименьшие значения показателя в 2023 году отмечены в городском округе г. Сельцо (8,</w:t>
          </w:r>
          <w:r>
            <w:t>2%), г. Клинцы (23,1%), а также в Дятьковском (8,5%), Трубчевском (9,6%), Суземском (9,9%) районах.</w:t>
          </w:r>
        </w:p>
        <w:p w:rsidR="008E239A" w:rsidRDefault="00D61E62">
          <w:pPr>
            <w:suppressAutoHyphens/>
            <w:ind w:firstLine="709"/>
            <w:jc w:val="both"/>
          </w:pPr>
          <w:r>
            <w:t>Отрицательная динамика показателя сложилась в четырех городских округах и в 1</w:t>
          </w:r>
          <w:r>
            <w:rPr>
              <w:color w:val="000000"/>
            </w:rPr>
            <w:t>4</w:t>
          </w:r>
          <w:r>
            <w:t xml:space="preserve"> муниципальных районах.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bCs/>
            </w:rPr>
            <w:t xml:space="preserve">В группе городских округов снижение составило от </w:t>
          </w:r>
          <w:r>
            <w:rPr>
              <w:bCs/>
              <w:color w:val="000000"/>
            </w:rPr>
            <w:t>3,03</w:t>
          </w:r>
          <w:r>
            <w:rPr>
              <w:bCs/>
            </w:rPr>
            <w:t xml:space="preserve">% (г. Брянск) до </w:t>
          </w:r>
          <w:r>
            <w:rPr>
              <w:bCs/>
              <w:color w:val="000000"/>
            </w:rPr>
            <w:t>10,0</w:t>
          </w:r>
          <w:r>
            <w:rPr>
              <w:bCs/>
            </w:rPr>
            <w:t>% (</w:t>
          </w:r>
          <w:r>
            <w:rPr>
              <w:bCs/>
              <w:color w:val="000000"/>
            </w:rPr>
            <w:t>г. Фокино</w:t>
          </w:r>
          <w:r>
            <w:rPr>
              <w:bCs/>
            </w:rPr>
            <w:t xml:space="preserve">), в группе муниципальных </w:t>
          </w:r>
          <w:r>
            <w:rPr>
              <w:bCs/>
              <w:color w:val="000000"/>
            </w:rPr>
            <w:t xml:space="preserve">районов </w:t>
          </w:r>
          <w:r>
            <w:rPr>
              <w:bCs/>
            </w:rPr>
            <w:t xml:space="preserve">снижение составило от </w:t>
          </w:r>
          <w:r>
            <w:rPr>
              <w:bCs/>
              <w:color w:val="000000"/>
            </w:rPr>
            <w:t>0,4%</w:t>
          </w:r>
          <w:r>
            <w:rPr>
              <w:bCs/>
            </w:rPr>
            <w:t xml:space="preserve"> (</w:t>
          </w:r>
          <w:r>
            <w:rPr>
              <w:bCs/>
              <w:color w:val="000000"/>
            </w:rPr>
            <w:t xml:space="preserve">Дятьковский </w:t>
          </w:r>
          <w:r>
            <w:rPr>
              <w:bCs/>
            </w:rPr>
            <w:t xml:space="preserve"> район) до 11,8</w:t>
          </w:r>
          <w:r>
            <w:rPr>
              <w:bCs/>
              <w:color w:val="000000"/>
            </w:rPr>
            <w:t>%</w:t>
          </w:r>
          <w:r>
            <w:rPr>
              <w:bCs/>
            </w:rPr>
            <w:t xml:space="preserve"> (</w:t>
          </w:r>
          <w:r>
            <w:rPr>
              <w:bCs/>
              <w:color w:val="000000"/>
            </w:rPr>
            <w:t>Почепский</w:t>
          </w:r>
          <w:r>
            <w:rPr>
              <w:bCs/>
            </w:rPr>
            <w:t xml:space="preserve"> район).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bCs/>
            </w:rPr>
            <w:t>Рост доли налоговых и неналоговых доходов в собственных доходах местных бюджетов в 20</w:t>
          </w:r>
          <w:r w:rsidRPr="00AD6A4D">
            <w:rPr>
              <w:bCs/>
            </w:rPr>
            <w:t>23</w:t>
          </w:r>
          <w:r>
            <w:rPr>
              <w:bCs/>
            </w:rPr>
            <w:t xml:space="preserve"> году обеспечен в городск</w:t>
          </w:r>
          <w:r>
            <w:rPr>
              <w:bCs/>
            </w:rPr>
            <w:t xml:space="preserve">ом округе г. Новозыбков и в </w:t>
          </w:r>
          <w:r>
            <w:rPr>
              <w:bCs/>
              <w:color w:val="000000"/>
            </w:rPr>
            <w:t>12</w:t>
          </w:r>
          <w:r>
            <w:rPr>
              <w:bCs/>
            </w:rPr>
            <w:t xml:space="preserve"> муниципалитетах, из них наибольший - в </w:t>
          </w:r>
          <w:r>
            <w:rPr>
              <w:bCs/>
              <w:color w:val="000000"/>
            </w:rPr>
            <w:t>Климовском</w:t>
          </w:r>
          <w:r>
            <w:rPr>
              <w:bCs/>
            </w:rPr>
            <w:t xml:space="preserve"> муниципальном районе (на </w:t>
          </w:r>
          <w:r>
            <w:rPr>
              <w:bCs/>
              <w:color w:val="000000"/>
            </w:rPr>
            <w:t xml:space="preserve">21,56 </w:t>
          </w:r>
          <w:r>
            <w:rPr>
              <w:bCs/>
            </w:rPr>
            <w:t>п.п.).</w:t>
          </w: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D61E62">
          <w:pPr>
            <w:suppressAutoHyphens/>
            <w:ind w:firstLine="709"/>
            <w:jc w:val="both"/>
            <w:rPr>
              <w:b/>
              <w:bCs/>
            </w:rPr>
          </w:pPr>
          <w:r>
            <w:rPr>
              <w:b/>
              <w:bCs/>
            </w:rPr>
            <w:t xml:space="preserve">32. Доля основных фондов организаций муниципальной формы собственности, находящихся в стадии банкротства, в основных фондах организаций </w:t>
          </w:r>
          <w:r>
            <w:rPr>
              <w:b/>
              <w:bCs/>
            </w:rPr>
            <w:t>муниципальной формы собственности (на конец года по полной учетной стоимости).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bCs/>
            </w:rPr>
            <w:t xml:space="preserve">В 2023 году организации муниципальной формы собственности, находящиеся в стадии банкротства, отсутствовали в 28 муниципальных </w:t>
          </w:r>
          <w:r>
            <w:rPr>
              <w:bCs/>
            </w:rPr>
            <w:lastRenderedPageBreak/>
            <w:t>образованиях, кроме городского округа г. Клинцы (1,</w:t>
          </w:r>
          <w:r>
            <w:rPr>
              <w:bCs/>
            </w:rPr>
            <w:t>87%), Выгоничского (0,8%), Климовского (2,0%) районов.</w:t>
          </w:r>
        </w:p>
        <w:p w:rsidR="008E239A" w:rsidRDefault="008E239A">
          <w:pPr>
            <w:suppressAutoHyphens/>
            <w:ind w:firstLine="709"/>
            <w:jc w:val="both"/>
            <w:rPr>
              <w:bCs/>
            </w:rPr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b/>
              <w:bCs/>
            </w:rPr>
            <w:t>33. Объем не завершенного в установленные сроки строительства, осуществляемого за счет средств бюджета городского округа (муниципального района)</w:t>
          </w:r>
        </w:p>
        <w:p w:rsidR="008E239A" w:rsidRDefault="00D61E62">
          <w:pPr>
            <w:suppressAutoHyphens/>
            <w:ind w:firstLine="709"/>
            <w:jc w:val="both"/>
          </w:pPr>
          <w:r>
            <w:t>Объем не завершенного в установленные сроки строительст</w:t>
          </w:r>
          <w:r>
            <w:t xml:space="preserve">ва, осуществляемого за счет средств бюджета городского округа (муниципального района), по итогам 2023 года составил </w:t>
          </w:r>
          <w:r>
            <w:rPr>
              <w:color w:val="000000"/>
            </w:rPr>
            <w:t>753,8</w:t>
          </w:r>
          <w:r>
            <w:t xml:space="preserve"> млн. рублей (в 2022 году – </w:t>
          </w:r>
          <w:r>
            <w:rPr>
              <w:color w:val="000000"/>
            </w:rPr>
            <w:t>583,5</w:t>
          </w:r>
          <w:r>
            <w:t xml:space="preserve"> млн. рублей).</w:t>
          </w:r>
        </w:p>
        <w:p w:rsidR="008E239A" w:rsidRDefault="00D61E62">
          <w:pPr>
            <w:widowControl w:val="0"/>
            <w:suppressAutoHyphens/>
            <w:ind w:firstLine="709"/>
            <w:jc w:val="both"/>
          </w:pPr>
          <w:r>
            <w:t>В 2023 году незавершенное в установленные сроки строительство, осуществляемое за счет с</w:t>
          </w:r>
          <w:r>
            <w:t>редств бюджета городского округа (муниципального района), имело место в городских округах: г. Брянск — 454,3 млн. рублей (снижение на 21,5% к уровню 2022 года), г. Фокино — 245,7 млн. рублей (рост в 347,6 раза); в муниципальных районах: в Комаричском — 2,7</w:t>
          </w:r>
          <w:r>
            <w:t xml:space="preserve"> млн. рублей (рост на 13,71%), в Красногорском — 49,3 млн. рублей (в 2022 году — 0,0 млн. рублей), в Севском — 1,7 млн. рублей (рост на 6,2%).</w:t>
          </w:r>
        </w:p>
        <w:p w:rsidR="008E239A" w:rsidRDefault="008E239A">
          <w:pPr>
            <w:widowControl w:val="0"/>
            <w:suppressAutoHyphens/>
            <w:ind w:firstLine="709"/>
            <w:jc w:val="both"/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b/>
            </w:rPr>
            <w:t>34. Доля просроченной кредиторской задолженности по оплате труда (включая начисления на оплату труда) муниципаль</w:t>
          </w:r>
          <w:r>
            <w:rPr>
              <w:b/>
            </w:rPr>
            <w:t>ных учреждений в общем объеме расходов муниципального образования на оплату труда (включая начисления на оплату труда) (процентов)</w:t>
          </w:r>
          <w:r>
            <w:rPr>
              <w:rStyle w:val="FootnoteCharacters"/>
              <w:b/>
              <w:color w:val="FFFFFF" w:themeColor="background1"/>
            </w:rPr>
            <w:t xml:space="preserve"> 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За счет осуществления контроля органами местного самоуправления за отсутствием просроченной кредиторской задолженности, а </w:t>
          </w:r>
          <w:r>
            <w:t>также четко выстроенных приоритетов финансирования, кредиторская задолженность по оплате труда (включая начисления на оплату труда) муниципальных учреждений отсутствует.</w:t>
          </w:r>
        </w:p>
        <w:p w:rsidR="008E239A" w:rsidRDefault="008E239A">
          <w:pPr>
            <w:suppressAutoHyphens/>
            <w:ind w:firstLine="709"/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b/>
            </w:rPr>
            <w:t xml:space="preserve">35. Расходы бюджета муниципального образования на содержание работников органов </w:t>
          </w:r>
          <w:r>
            <w:rPr>
              <w:b/>
            </w:rPr>
            <w:t>местного самоуправления в расчете на одного жителя муниципального образования (рублей)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Среднее значение показателя по Брянской области составило </w:t>
          </w:r>
          <w:r>
            <w:rPr>
              <w:color w:val="000000"/>
            </w:rPr>
            <w:t xml:space="preserve">1997,82 </w:t>
          </w:r>
          <w:r>
            <w:t>рубля на одно</w:t>
          </w:r>
          <w:r>
            <w:rPr>
              <w:color w:val="000000"/>
            </w:rPr>
            <w:t xml:space="preserve">го жителя, что на </w:t>
          </w:r>
          <w:r>
            <w:rPr>
              <w:color w:val="000000"/>
            </w:rPr>
            <w:t>8,33% больше уровня 2022 года</w:t>
          </w:r>
          <w:r>
            <w:rPr>
              <w:color w:val="000000"/>
            </w:rPr>
            <w:t>, в том числе в среднем по городским округа</w:t>
          </w:r>
          <w:r>
            <w:rPr>
              <w:color w:val="000000"/>
            </w:rPr>
            <w:t xml:space="preserve">м — 1388,74 рубля на одного жителя (больше на </w:t>
          </w:r>
          <w:r>
            <w:rPr>
              <w:color w:val="000000"/>
            </w:rPr>
            <w:t>1,44</w:t>
          </w:r>
          <w:r>
            <w:rPr>
              <w:color w:val="000000"/>
            </w:rPr>
            <w:t xml:space="preserve">%), по муниципальным районам — </w:t>
          </w:r>
          <w:r>
            <w:rPr>
              <w:color w:val="000000"/>
            </w:rPr>
            <w:t>2114,96</w:t>
          </w:r>
          <w:r>
            <w:rPr>
              <w:color w:val="000000"/>
            </w:rPr>
            <w:t xml:space="preserve"> рубля на одного жителя (больше на 9,27%). </w:t>
          </w:r>
          <w:r>
            <w:rPr>
              <w:color w:val="000000"/>
            </w:rPr>
            <w:t xml:space="preserve">Это связано с увеличением минимального размера оплаты труда в соответствии с Федеральными законами от </w:t>
          </w:r>
          <w:r>
            <w:rPr>
              <w:color w:val="000000"/>
            </w:rPr>
            <w:t>19 июня 2000</w:t>
          </w:r>
          <w:r>
            <w:rPr>
              <w:color w:val="000000"/>
            </w:rPr>
            <w:t xml:space="preserve"> года №</w:t>
          </w:r>
          <w:r>
            <w:rPr>
              <w:color w:val="000000"/>
            </w:rPr>
            <w:t>82</w:t>
          </w:r>
          <w:r>
            <w:rPr>
              <w:color w:val="000000"/>
            </w:rPr>
            <w:t>-Ф</w:t>
          </w:r>
          <w:r>
            <w:rPr>
              <w:color w:val="000000"/>
            </w:rPr>
            <w:t>З «О минимальном размере оплаты труда».</w:t>
          </w:r>
        </w:p>
        <w:p w:rsidR="008E239A" w:rsidRDefault="00D61E62">
          <w:pPr>
            <w:suppressAutoHyphens/>
            <w:jc w:val="both"/>
          </w:pPr>
          <w:r>
            <w:tab/>
            <w:t>В соответствии с региональным соглашением между Правительством Брянской области, Союзом организаций профсоюзов «Федерация профсоюзов Брянской области» и Брянской областной Ассоциацией промышленников и предпринимател</w:t>
          </w:r>
          <w:r>
            <w:t>ей - Региональным объединением работодателей о минимальной заработной плате в Брянской области на 2023 год минимальный размер оплаты труда составил:</w:t>
          </w:r>
        </w:p>
        <w:p w:rsidR="008E239A" w:rsidRDefault="00D61E62">
          <w:pPr>
            <w:jc w:val="both"/>
          </w:pPr>
          <w:r>
            <w:tab/>
          </w:r>
          <w:r>
            <w:rPr>
              <w:color w:val="000000"/>
            </w:rPr>
            <w:t xml:space="preserve">16500 </w:t>
          </w:r>
          <w:r>
            <w:t xml:space="preserve">рублей - для организаций внебюджетного сектора экономики; </w:t>
          </w:r>
        </w:p>
        <w:p w:rsidR="008E239A" w:rsidRDefault="00D61E62">
          <w:pPr>
            <w:jc w:val="both"/>
          </w:pPr>
          <w:r>
            <w:lastRenderedPageBreak/>
            <w:tab/>
          </w:r>
          <w:r>
            <w:rPr>
              <w:color w:val="000000"/>
            </w:rPr>
            <w:t>16248</w:t>
          </w:r>
          <w:r>
            <w:t xml:space="preserve"> рублей - для организаций бюджетног</w:t>
          </w:r>
          <w:r>
            <w:t>о сектора экономики.</w:t>
          </w:r>
        </w:p>
        <w:p w:rsidR="008E239A" w:rsidRDefault="00D61E62">
          <w:pPr>
            <w:suppressAutoHyphens/>
            <w:jc w:val="both"/>
          </w:pPr>
          <w:r>
            <w:rPr>
              <w:i/>
              <w:iCs/>
            </w:rPr>
            <w:tab/>
          </w:r>
          <w:r>
            <w:t>Наименьшие (лучшие) значения анализируемого показателя в расчете на одного жителя муниципального образования в группе городских округов сложились в г. Клинцы (938,0 рублей), г. Брянске (1038,13 рублей), г. Новозыбкове (1044,95 рублей)</w:t>
          </w:r>
          <w:r>
            <w:t>; в группе муниципальных районов: в Унечском (1091 рубль), Навлинском (1193,0 рубля), Жуковском муниципальном округе (1277,38 рубля).</w:t>
          </w:r>
        </w:p>
        <w:p w:rsidR="008E239A" w:rsidRDefault="00D61E62">
          <w:pPr>
            <w:suppressAutoHyphens/>
            <w:ind w:firstLine="709"/>
            <w:jc w:val="both"/>
          </w:pPr>
          <w:r>
            <w:t>Наибольшие значения показателя в расчете на душу населения сложились: в группе городских округов - в г. Фокино (1968,7 руб</w:t>
          </w:r>
          <w:r>
            <w:t>ля), г. Сельцо (1953,9 рубля); в группе муниципальных районов — в Жирятинском (4399,1 рубля), Красногорском (3842,5 рубля), Рогнединском (3786 рублей) районах.</w:t>
          </w: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b/>
              <w:color w:val="000000"/>
            </w:rPr>
            <w:t>36.</w:t>
          </w:r>
          <w:r>
            <w:rPr>
              <w:b/>
            </w:rPr>
            <w:t xml:space="preserve"> Наличие в городском округе (муниципальном районе) утвержденного генерального плана городского округа (схемы территориального планирования муниципального района) (да/нет)</w:t>
          </w:r>
          <w:r>
            <w:rPr>
              <w:rStyle w:val="FootnoteCharacters"/>
              <w:b/>
              <w:color w:val="FFFFFF" w:themeColor="background1"/>
            </w:rPr>
            <w:t xml:space="preserve"> </w:t>
          </w:r>
        </w:p>
        <w:p w:rsidR="008E239A" w:rsidRDefault="00D61E62">
          <w:pPr>
            <w:suppressAutoHyphens/>
            <w:ind w:firstLine="709"/>
            <w:jc w:val="both"/>
          </w:pPr>
          <w:bookmarkStart w:id="25" w:name="page159R_mcid2"/>
          <w:bookmarkEnd w:id="25"/>
          <w:r>
            <w:t xml:space="preserve">По состоянию на 31.12.2023 документы территориального планирования  утверждены </w:t>
          </w:r>
          <w:r>
            <w:rPr>
              <w:color w:val="000000"/>
            </w:rPr>
            <w:t>всеми</w:t>
          </w:r>
          <w:r>
            <w:rPr>
              <w:color w:val="000000"/>
            </w:rPr>
            <w:t xml:space="preserve"> муниципальными </w:t>
          </w:r>
          <w:r>
            <w:t xml:space="preserve"> образованиями Брянской области.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color w:val="FF0000"/>
            </w:rPr>
            <w:t xml:space="preserve"> 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b/>
            </w:rPr>
            <w:t>37. Удовлетворенность населения деятельностью органов местного самоуправления городского округа (муниципального района) (процент от числа опрошенных)</w:t>
          </w:r>
          <w:r>
            <w:rPr>
              <w:rStyle w:val="FootnoteCharacters"/>
              <w:b/>
              <w:color w:val="FFFFFF" w:themeColor="background1"/>
            </w:rPr>
            <w:t xml:space="preserve"> 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Показатель отражает степень удовлетворенности жителей </w:t>
          </w:r>
          <w:r>
            <w:rPr>
              <w:color w:val="000000"/>
            </w:rPr>
            <w:t xml:space="preserve">Брянской </w:t>
          </w:r>
          <w:r>
            <w:t>области деятельностью органов местного самоуправления региона.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Значение показателя определено на основе результатов опроса населения с применением </w:t>
          </w:r>
          <w:r>
            <w:rPr>
              <w:lang w:val="en-US"/>
            </w:rPr>
            <w:t>IT</w:t>
          </w:r>
          <w:r>
            <w:t xml:space="preserve">-технологий. В 2023 году в опросе приняли участие </w:t>
          </w:r>
          <w:r>
            <w:rPr>
              <w:color w:val="000000"/>
            </w:rPr>
            <w:t xml:space="preserve">5525 </w:t>
          </w:r>
          <w:r>
            <w:t xml:space="preserve">человек (в 2022 году – </w:t>
          </w:r>
          <w:r>
            <w:rPr>
              <w:color w:val="000000"/>
            </w:rPr>
            <w:t>4120</w:t>
          </w:r>
          <w:r>
            <w:t xml:space="preserve"> человек).</w:t>
          </w:r>
          <w:r>
            <w:rPr>
              <w:color w:val="7153A0" w:themeColor="accent5" w:themeShade="BF"/>
            </w:rPr>
            <w:t xml:space="preserve"> </w:t>
          </w:r>
        </w:p>
        <w:p w:rsidR="008E239A" w:rsidRDefault="00D61E62">
          <w:pPr>
            <w:suppressAutoHyphens/>
            <w:ind w:firstLine="709"/>
            <w:jc w:val="both"/>
          </w:pPr>
          <w:r>
            <w:t>Опро</w:t>
          </w:r>
          <w:r>
            <w:t>с проводился по следующим критериям:</w:t>
          </w:r>
        </w:p>
        <w:p w:rsidR="008E239A" w:rsidRDefault="00D61E62">
          <w:pPr>
            <w:suppressAutoHyphens/>
            <w:ind w:firstLine="709"/>
            <w:jc w:val="both"/>
          </w:pPr>
          <w:r>
            <w:t>удовлетворенность населения организацией транспортного обслуживания в муниципальном образовании;</w:t>
          </w:r>
        </w:p>
        <w:p w:rsidR="008E239A" w:rsidRDefault="00D61E62">
          <w:pPr>
            <w:suppressAutoHyphens/>
            <w:ind w:firstLine="709"/>
            <w:jc w:val="both"/>
          </w:pPr>
          <w:r>
            <w:t>удовлетворенность населения качеством автомобильных дорог в муниципальном образовании;</w:t>
          </w:r>
        </w:p>
        <w:p w:rsidR="008E239A" w:rsidRDefault="00D61E62">
          <w:pPr>
            <w:suppressAutoHyphens/>
            <w:ind w:firstLine="709"/>
            <w:jc w:val="both"/>
          </w:pPr>
          <w:r>
            <w:t>удовлетворенность населения жилищно</w:t>
          </w:r>
          <w:r>
            <w:t>-коммунальными услугами: уровнем организации теплоснабжения (снабжения населения топливом), водоснабжения (водоотведения), электроснабжения, газоснабжения.</w:t>
          </w:r>
        </w:p>
        <w:p w:rsidR="008E239A" w:rsidRDefault="00D61E62">
          <w:pPr>
            <w:suppressAutoHyphens/>
            <w:ind w:firstLine="709"/>
            <w:jc w:val="both"/>
          </w:pPr>
          <w:r>
            <w:t>Итоговый показатель удовлетворенности населения деятельностью органов местного самоуправления опреде</w:t>
          </w:r>
          <w:r>
            <w:t>лялся как среднеарифметическое значение показателей удовлетворенности населения по критериям оценки.</w:t>
          </w:r>
        </w:p>
        <w:p w:rsidR="008E239A" w:rsidRDefault="00D61E62">
          <w:pPr>
            <w:suppressAutoHyphens/>
            <w:ind w:firstLine="709"/>
            <w:jc w:val="both"/>
          </w:pPr>
          <w:r>
            <w:t>Следует отметить, что за время проведения опроса с 10 января 2024 года по 31 марта 2024 года в Карачевском, Клетнянском, Рогнединском и Суземском  муниципа</w:t>
          </w:r>
          <w:r>
            <w:t xml:space="preserve">льных районах граждане не приняли участие в данном </w:t>
          </w:r>
          <w:r>
            <w:rPr>
              <w:color w:val="000000"/>
            </w:rPr>
            <w:t>мероприятии</w:t>
          </w:r>
          <w:r>
            <w:t xml:space="preserve">, что свидетельствует о низкой организации проведения </w:t>
          </w:r>
          <w:r>
            <w:rPr>
              <w:color w:val="000000"/>
            </w:rPr>
            <w:t>опроса населения по оценке эффективности деятельности органов местного самоуправления</w:t>
          </w:r>
          <w:r>
            <w:t xml:space="preserve">. </w:t>
          </w:r>
        </w:p>
        <w:p w:rsidR="008E239A" w:rsidRDefault="00D61E62">
          <w:pPr>
            <w:suppressAutoHyphens/>
            <w:ind w:firstLine="709"/>
            <w:jc w:val="both"/>
          </w:pPr>
          <w:r>
            <w:t>В среднем по области значение показателя по сравнени</w:t>
          </w:r>
          <w:r>
            <w:t xml:space="preserve">ю с 2022 годом  </w:t>
          </w:r>
          <w:r>
            <w:rPr>
              <w:color w:val="000000"/>
            </w:rPr>
            <w:t>уменьшилось</w:t>
          </w:r>
          <w:r>
            <w:t xml:space="preserve"> на 12,14 п.п. и составило </w:t>
          </w:r>
          <w:r>
            <w:rPr>
              <w:color w:val="000000"/>
            </w:rPr>
            <w:t>59,47</w:t>
          </w:r>
          <w:r>
            <w:t>%.</w:t>
          </w:r>
        </w:p>
        <w:p w:rsidR="008E239A" w:rsidRDefault="00D61E62">
          <w:pPr>
            <w:suppressAutoHyphens/>
            <w:ind w:firstLine="709"/>
            <w:jc w:val="both"/>
          </w:pPr>
          <w:r>
            <w:lastRenderedPageBreak/>
            <w:t>Наибольшее количество участников опроса отмечено в городском округе г.Клинцы (2170 человек), г. Брянске (</w:t>
          </w:r>
          <w:r>
            <w:rPr>
              <w:color w:val="000000"/>
            </w:rPr>
            <w:t xml:space="preserve">870 </w:t>
          </w:r>
          <w:r>
            <w:t>человек), в Брянском (</w:t>
          </w:r>
          <w:r>
            <w:rPr>
              <w:color w:val="000000"/>
            </w:rPr>
            <w:t>659</w:t>
          </w:r>
          <w:r>
            <w:t xml:space="preserve"> человек), Погарском (</w:t>
          </w:r>
          <w:r>
            <w:rPr>
              <w:color w:val="000000"/>
            </w:rPr>
            <w:t>250</w:t>
          </w:r>
          <w:r>
            <w:t xml:space="preserve"> человек) муниципальных районах. </w:t>
          </w:r>
        </w:p>
        <w:p w:rsidR="008E239A" w:rsidRDefault="00D61E62">
          <w:pPr>
            <w:suppressAutoHyphens/>
            <w:ind w:firstLine="709"/>
            <w:jc w:val="both"/>
          </w:pPr>
          <w:r>
            <w:t>Н</w:t>
          </w:r>
          <w:r>
            <w:t>аиболее высокая у</w:t>
          </w:r>
          <w:r>
            <w:t xml:space="preserve">довлетворенность населения деятельностью органов местного самоуправления городского округа (муниципального района) </w:t>
          </w:r>
          <w:r>
            <w:rPr>
              <w:color w:val="000000"/>
            </w:rPr>
            <w:t>сложилась</w:t>
          </w:r>
          <w:r>
            <w:t xml:space="preserve"> в группе городских округов: в г. Сельцо (81,82%), г. Новозыбкове (79,22%); в группе муниципальных районов: в Брянском (89,57%), Дубровском (85,95%), в Жуковском муниципальном округе (84,09%).</w:t>
          </w:r>
        </w:p>
        <w:p w:rsidR="008E239A" w:rsidRDefault="008E239A">
          <w:pPr>
            <w:suppressAutoHyphens/>
            <w:ind w:firstLine="709"/>
            <w:jc w:val="both"/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b/>
            </w:rPr>
            <w:t>38. Среднегодовая численность постоянного населения (тыс. чело</w:t>
          </w:r>
          <w:r>
            <w:rPr>
              <w:b/>
            </w:rPr>
            <w:t>век)</w:t>
          </w:r>
          <w:r>
            <w:rPr>
              <w:rStyle w:val="FootnoteCharacters"/>
              <w:b/>
              <w:color w:val="FFFFFF" w:themeColor="background1"/>
            </w:rPr>
            <w:t xml:space="preserve"> </w:t>
          </w:r>
        </w:p>
        <w:p w:rsidR="008E239A" w:rsidRDefault="00D61E62">
          <w:pPr>
            <w:suppressAutoHyphens/>
            <w:jc w:val="both"/>
          </w:pPr>
          <w:r>
            <w:tab/>
            <w:t xml:space="preserve">Среднегодовая численность населения Брянской области в 2023 году составила </w:t>
          </w:r>
          <w:r>
            <w:rPr>
              <w:color w:val="000000"/>
            </w:rPr>
            <w:t>1147,5</w:t>
          </w:r>
          <w:r>
            <w:t xml:space="preserve"> тыс. человек, сократившись за год на </w:t>
          </w:r>
          <w:r>
            <w:rPr>
              <w:color w:val="000000"/>
            </w:rPr>
            <w:t>11,1</w:t>
          </w:r>
          <w:r>
            <w:t xml:space="preserve"> тыс. человек.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Рост среднегодовой численности постоянного населения наблюдался в </w:t>
          </w:r>
          <w:r>
            <w:rPr>
              <w:color w:val="000000"/>
            </w:rPr>
            <w:t>Брянском муниципальном районе</w:t>
          </w:r>
          <w:r>
            <w:t xml:space="preserve"> (на </w:t>
          </w:r>
          <w:r>
            <w:rPr>
              <w:color w:val="000000"/>
            </w:rPr>
            <w:t>0,18</w:t>
          </w:r>
          <w:r>
            <w:t>% к уро</w:t>
          </w:r>
          <w:r>
            <w:t>вню 2022 года).</w:t>
          </w:r>
        </w:p>
        <w:p w:rsidR="008E239A" w:rsidRDefault="00D61E62">
          <w:pPr>
            <w:suppressAutoHyphens/>
            <w:ind w:firstLine="709"/>
            <w:jc w:val="both"/>
          </w:pPr>
          <w:r>
            <w:rPr>
              <w:color w:val="000000"/>
            </w:rPr>
            <w:t>Во</w:t>
          </w:r>
          <w:r>
            <w:t xml:space="preserve"> всех остальным муниципальным образованиям произошло сокращение численности населения.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Наибольшее снижение показателя </w:t>
          </w:r>
          <w:r>
            <w:rPr>
              <w:color w:val="000000"/>
            </w:rPr>
            <w:t>сложилось</w:t>
          </w:r>
          <w:r>
            <w:t>: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в группе городских округов – в г. </w:t>
          </w:r>
          <w:r>
            <w:rPr>
              <w:color w:val="000000"/>
            </w:rPr>
            <w:t>Фокино</w:t>
          </w:r>
          <w:r>
            <w:t xml:space="preserve"> (меньше на </w:t>
          </w:r>
          <w:r>
            <w:rPr>
              <w:color w:val="000000"/>
            </w:rPr>
            <w:t>1,35</w:t>
          </w:r>
          <w:r>
            <w:t xml:space="preserve"> </w:t>
          </w:r>
          <w:r>
            <w:rPr>
              <w:color w:val="000000"/>
            </w:rPr>
            <w:t>%</w:t>
          </w:r>
          <w:r>
            <w:t>);</w:t>
          </w:r>
        </w:p>
        <w:p w:rsidR="008E239A" w:rsidRDefault="00D61E62">
          <w:pPr>
            <w:suppressAutoHyphens/>
            <w:ind w:firstLine="709"/>
            <w:jc w:val="both"/>
          </w:pPr>
          <w:r>
            <w:t xml:space="preserve">в группе муниципальных районов – в </w:t>
          </w:r>
          <w:r>
            <w:rPr>
              <w:color w:val="000000"/>
            </w:rPr>
            <w:t xml:space="preserve">Севском </w:t>
          </w:r>
          <w:r>
            <w:t xml:space="preserve">муниципальном районе (меньше на </w:t>
          </w:r>
          <w:r>
            <w:rPr>
              <w:color w:val="000000"/>
            </w:rPr>
            <w:t>1,95%</w:t>
          </w:r>
          <w:r>
            <w:t>).</w:t>
          </w:r>
        </w:p>
        <w:p w:rsidR="008E239A" w:rsidRDefault="008E239A">
          <w:pPr>
            <w:ind w:firstLine="709"/>
            <w:jc w:val="both"/>
          </w:pPr>
        </w:p>
        <w:p w:rsidR="008E239A" w:rsidRDefault="008E239A">
          <w:pPr>
            <w:ind w:firstLine="709"/>
            <w:jc w:val="both"/>
          </w:pPr>
        </w:p>
        <w:p w:rsidR="008E239A" w:rsidRDefault="00D61E62">
          <w:pPr>
            <w:suppressAutoHyphens/>
            <w:ind w:firstLine="709"/>
            <w:jc w:val="center"/>
          </w:pPr>
          <w:r>
            <w:rPr>
              <w:u w:val="single"/>
            </w:rPr>
            <w:t>Пер</w:t>
          </w:r>
          <w:r>
            <w:rPr>
              <w:u w:val="single"/>
            </w:rPr>
            <w:t>ечень мероприятий по повышению результативности деятельности органов местного самоуправления городских округов и муниципальных районов в сфере «Муниципальное управление»</w:t>
          </w:r>
        </w:p>
        <w:p w:rsidR="008E239A" w:rsidRDefault="008E239A">
          <w:pPr>
            <w:suppressAutoHyphens/>
            <w:jc w:val="center"/>
          </w:pPr>
        </w:p>
        <w:p w:rsidR="008E239A" w:rsidRDefault="00D61E62">
          <w:pPr>
            <w:numPr>
              <w:ilvl w:val="0"/>
              <w:numId w:val="4"/>
            </w:numPr>
            <w:suppressAutoHyphens/>
            <w:ind w:left="0" w:firstLine="709"/>
            <w:jc w:val="both"/>
          </w:pPr>
          <w:r>
            <w:rPr>
              <w:bCs/>
            </w:rPr>
            <w:t>Повышение эффективности управленческих р</w:t>
          </w:r>
          <w:r>
            <w:rPr>
              <w:bCs/>
            </w:rPr>
            <w:t>ешений, направленных на повышение уровня и качества жизни населения</w:t>
          </w:r>
          <w:r>
            <w:t>.</w:t>
          </w:r>
        </w:p>
        <w:p w:rsidR="008E239A" w:rsidRDefault="00D61E62">
          <w:pPr>
            <w:numPr>
              <w:ilvl w:val="0"/>
              <w:numId w:val="4"/>
            </w:numPr>
            <w:suppressAutoHyphens/>
            <w:ind w:firstLine="709"/>
            <w:jc w:val="both"/>
          </w:pPr>
          <w:r>
            <w:t xml:space="preserve">Проведение постоянной работы над формированием позитивного имиджа власти, использование современных форм проведения дискуссионных площадок по обсуждению общественно значимых вопросов с </w:t>
          </w:r>
          <w:r>
            <w:t>приглашением представителей общественности, молодежи, политических партий.</w:t>
          </w:r>
        </w:p>
        <w:p w:rsidR="008E239A" w:rsidRDefault="00D61E62">
          <w:pPr>
            <w:numPr>
              <w:ilvl w:val="0"/>
              <w:numId w:val="4"/>
            </w:numPr>
            <w:tabs>
              <w:tab w:val="left" w:pos="142"/>
            </w:tabs>
            <w:suppressAutoHyphens/>
            <w:ind w:left="0" w:firstLine="709"/>
            <w:jc w:val="both"/>
          </w:pPr>
          <w:r>
            <w:rPr>
              <w:bCs/>
            </w:rPr>
            <w:t>Качественное и более широкое освещение в районных СМИ, включая интернет-ресурс, деятельности органов местного самоуправления.</w:t>
          </w:r>
        </w:p>
        <w:p w:rsidR="008E239A" w:rsidRDefault="00D61E62">
          <w:pPr>
            <w:numPr>
              <w:ilvl w:val="0"/>
              <w:numId w:val="4"/>
            </w:numPr>
            <w:tabs>
              <w:tab w:val="left" w:pos="142"/>
            </w:tabs>
            <w:suppressAutoHyphens/>
            <w:ind w:left="0" w:firstLine="709"/>
            <w:jc w:val="both"/>
          </w:pPr>
          <w:r>
            <w:rPr>
              <w:bCs/>
            </w:rPr>
            <w:t>Информирование населения о проведении опроса с применен</w:t>
          </w:r>
          <w:r>
            <w:rPr>
              <w:bCs/>
            </w:rPr>
            <w:t>ием IT-технологий.</w:t>
          </w:r>
        </w:p>
        <w:p w:rsidR="008E239A" w:rsidRDefault="008E239A">
          <w:pPr>
            <w:tabs>
              <w:tab w:val="left" w:pos="142"/>
            </w:tabs>
            <w:suppressAutoHyphens/>
            <w:ind w:firstLine="709"/>
            <w:jc w:val="both"/>
          </w:pPr>
        </w:p>
        <w:p w:rsidR="008E239A" w:rsidRDefault="00D61E62">
          <w:pPr>
            <w:pStyle w:val="aff7"/>
            <w:suppressAutoHyphens/>
            <w:spacing w:after="0" w:line="240" w:lineRule="auto"/>
            <w:jc w:val="center"/>
          </w:pPr>
          <w:r>
            <w:rPr>
              <w:rFonts w:ascii="Times New Roman" w:hAnsi="Times New Roman"/>
              <w:b/>
              <w:sz w:val="28"/>
              <w:szCs w:val="28"/>
            </w:rPr>
            <w:t>9. ЭНЕРГОСБЕРЕЖЕНИЕ И ПОВЫШЕНИЕ ЭНЕРГЕТИЧЕСКОЙ</w:t>
          </w:r>
        </w:p>
        <w:p w:rsidR="008E239A" w:rsidRDefault="00D61E62">
          <w:pPr>
            <w:pStyle w:val="aff7"/>
            <w:suppressAutoHyphens/>
            <w:spacing w:after="0" w:line="240" w:lineRule="auto"/>
            <w:jc w:val="center"/>
          </w:pPr>
          <w:r>
            <w:rPr>
              <w:rFonts w:ascii="Times New Roman" w:hAnsi="Times New Roman"/>
              <w:b/>
              <w:sz w:val="28"/>
              <w:szCs w:val="28"/>
            </w:rPr>
            <w:t>ЭФФЕКТИВНОСТИ</w:t>
          </w:r>
        </w:p>
        <w:p w:rsidR="008E239A" w:rsidRDefault="008E239A">
          <w:pPr>
            <w:suppressAutoHyphens/>
          </w:pPr>
        </w:p>
        <w:p w:rsidR="008E239A" w:rsidRDefault="00D61E62">
          <w:pPr>
            <w:suppressAutoHyphens/>
            <w:ind w:firstLine="709"/>
            <w:jc w:val="both"/>
          </w:pPr>
          <w:r>
            <w:rPr>
              <w:b/>
              <w:spacing w:val="-4"/>
            </w:rPr>
            <w:t xml:space="preserve">39. Удельная величина потребления энергетических ресурсов в многоквартирных домах (электрическая и тепловая энергия, горячая и холодная вода, природный газ), (кВтч на 1 </w:t>
          </w:r>
          <w:r>
            <w:rPr>
              <w:b/>
              <w:spacing w:val="-4"/>
            </w:rPr>
            <w:t>проживающего, Гкал на 1 кв. метр общей площади, куб. метров на 1 проживающего)</w:t>
          </w:r>
          <w:r>
            <w:rPr>
              <w:rStyle w:val="FootnoteCharacters"/>
              <w:b/>
              <w:color w:val="FFFFFF" w:themeColor="background1"/>
            </w:rPr>
            <w:t xml:space="preserve"> </w:t>
          </w:r>
        </w:p>
        <w:p w:rsidR="008E239A" w:rsidRDefault="008E239A">
          <w:pPr>
            <w:pBdr>
              <w:bottom w:val="single" w:sz="4" w:space="0" w:color="FFFFFF"/>
            </w:pBdr>
            <w:ind w:firstLine="709"/>
            <w:jc w:val="both"/>
          </w:pP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u w:val="single"/>
            </w:rPr>
            <w:t>Удельная величина потребления электрической энергии</w:t>
          </w:r>
          <w:r>
            <w:t xml:space="preserve"> в многоквартирных домах (на 1 проживающего)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>В среднем по городским округам в 2023 году удельная величина потребления электр</w:t>
          </w:r>
          <w:r>
            <w:t xml:space="preserve">ической энергии в расчете на 1 проживающего в многоквартирных домах составила </w:t>
          </w:r>
          <w:r>
            <w:rPr>
              <w:color w:val="000000"/>
            </w:rPr>
            <w:t xml:space="preserve">663,03 </w:t>
          </w:r>
          <w:r>
            <w:t xml:space="preserve"> кВт.час/чел., что на </w:t>
          </w:r>
          <w:r>
            <w:rPr>
              <w:color w:val="000000"/>
            </w:rPr>
            <w:t>1,5</w:t>
          </w:r>
          <w:r>
            <w:t xml:space="preserve"> % </w:t>
          </w:r>
          <w:r>
            <w:rPr>
              <w:color w:val="000000"/>
            </w:rPr>
            <w:t>больш</w:t>
          </w:r>
          <w:r>
            <w:t xml:space="preserve">е, чем в 2022 году. 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>В среднем по муниципальным районам в 2023 году удельная величина потребления электрической энергии в расчете на 1 про</w:t>
          </w:r>
          <w:r>
            <w:t xml:space="preserve">живающего в многоквартирных домах составила </w:t>
          </w:r>
          <w:r>
            <w:rPr>
              <w:color w:val="000000"/>
            </w:rPr>
            <w:t>666,3</w:t>
          </w:r>
          <w:r>
            <w:t xml:space="preserve"> кВт.час/чел., что на </w:t>
          </w:r>
          <w:r>
            <w:rPr>
              <w:color w:val="000000"/>
            </w:rPr>
            <w:t>1,92</w:t>
          </w:r>
          <w:r>
            <w:t xml:space="preserve"> % </w:t>
          </w:r>
          <w:r>
            <w:rPr>
              <w:color w:val="000000"/>
            </w:rPr>
            <w:t xml:space="preserve">меньше уровня </w:t>
          </w:r>
          <w:r>
            <w:t>2022 года.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 xml:space="preserve">В среднем по </w:t>
          </w:r>
          <w:r>
            <w:rPr>
              <w:color w:val="000000"/>
            </w:rPr>
            <w:t>Брянской области</w:t>
          </w:r>
          <w:r>
            <w:t xml:space="preserve"> в 2023 году удельная величина потребления электрической энергии в расчете на 1 проживающего в многоквартирных домах состави</w:t>
          </w:r>
          <w:r>
            <w:t xml:space="preserve">ла </w:t>
          </w:r>
          <w:r>
            <w:rPr>
              <w:color w:val="000000"/>
            </w:rPr>
            <w:t>665,78 кВт.</w:t>
          </w:r>
          <w:r>
            <w:t xml:space="preserve">час/чел., что на </w:t>
          </w:r>
          <w:r>
            <w:rPr>
              <w:color w:val="000000"/>
            </w:rPr>
            <w:t>1,39</w:t>
          </w:r>
          <w:r>
            <w:t xml:space="preserve"> % </w:t>
          </w:r>
          <w:r>
            <w:rPr>
              <w:color w:val="000000"/>
            </w:rPr>
            <w:t>меньше,</w:t>
          </w:r>
          <w:r>
            <w:t xml:space="preserve"> чем в 2022 году.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>Снижение удельных показателей связано с ростом числа МКД, оснащенных общедомовыми приборами учета электрической энергии, ростом числа многотарифных электросчетчиков, а также с повсеместным испо</w:t>
          </w:r>
          <w:r>
            <w:t>льзованием светодиодных ламп как в квартирах, так и в помещениях общего пользования МКД, использованием энергоэффективной бытовой техники.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 xml:space="preserve">Снижение показателя </w:t>
          </w:r>
          <w:r>
            <w:rPr>
              <w:color w:val="000000"/>
            </w:rPr>
            <w:t>в 2023 году отмечено</w:t>
          </w:r>
          <w:r>
            <w:t xml:space="preserve"> в городском округе г. Фокино, в  Брасовском, Брянском, Дятьковском, Жирятинс</w:t>
          </w:r>
          <w:r>
            <w:t>ком, Злынковском, Комаричском, Красногорском, Мглинском, Навлинском, Погарском, Почепском, Рогнединском, Севском, Трубчевском муниципальных районах.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 xml:space="preserve">Наибольшее снижение показателя </w:t>
          </w:r>
          <w:r>
            <w:rPr>
              <w:color w:val="000000"/>
            </w:rPr>
            <w:t>сложилось</w:t>
          </w:r>
          <w:r>
            <w:t xml:space="preserve"> в </w:t>
          </w:r>
          <w:r>
            <w:rPr>
              <w:color w:val="000000"/>
            </w:rPr>
            <w:t xml:space="preserve">Дятьковском (на 21,19%), Брянском (на 17,87%), Севском (на </w:t>
          </w:r>
          <w:r>
            <w:rPr>
              <w:color w:val="000000"/>
            </w:rPr>
            <w:t>14,85%), Комаричском (на 10,89%) муниципальных районах.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>Рост показателя в 2023 году отмечен в 4-х городских округах и в 11 муниципальных районах. В Клинцовском муниципальном районе показатель за 2023 год не изменился и остался на уровне 2022 года.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>Наименьш</w:t>
          </w:r>
          <w:r>
            <w:rPr>
              <w:color w:val="000000"/>
            </w:rPr>
            <w:t>ее (лучшее) значение показателя в группе городских округов отмечено в г. Сельцо (509,8 кВт.час/чел.), г. Новозыбкове (530,9 кВт.час/чел.), г. Клинцы (653,46 кВт.час/чел.); в группе муниципальных районов — в Карачевском (116,3 кВт.час/чел.), Севском (281 кВ</w:t>
          </w:r>
          <w:r>
            <w:rPr>
              <w:color w:val="000000"/>
            </w:rPr>
            <w:t>т.час/чел.), Дятьковском (318,0 кВт.час/чел.).</w:t>
          </w:r>
        </w:p>
        <w:p w:rsidR="008E239A" w:rsidRDefault="008E239A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u w:val="single"/>
            </w:rPr>
            <w:t>Удельная величина потребления тепловой энергии в многоквартирных домах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 xml:space="preserve">В среднем по городским округам в 2023 году удельная величина потребления </w:t>
          </w:r>
          <w:r>
            <w:rPr>
              <w:color w:val="000000"/>
            </w:rPr>
            <w:t xml:space="preserve">тепловой </w:t>
          </w:r>
          <w:r>
            <w:t>энергии в расчете на 1 проживающего в многоквартирных д</w:t>
          </w:r>
          <w:r>
            <w:t xml:space="preserve">омах составила </w:t>
          </w:r>
          <w:r>
            <w:rPr>
              <w:color w:val="000000"/>
            </w:rPr>
            <w:t xml:space="preserve">0,13 </w:t>
          </w:r>
          <w:r>
            <w:t xml:space="preserve"> </w:t>
          </w:r>
          <w:r>
            <w:rPr>
              <w:color w:val="000000"/>
            </w:rPr>
            <w:t>Гкал на 1 кв. метр площади</w:t>
          </w:r>
          <w:r>
            <w:t xml:space="preserve">, </w:t>
          </w:r>
          <w:r>
            <w:rPr>
              <w:color w:val="000000"/>
            </w:rPr>
            <w:t>или 100</w:t>
          </w:r>
          <w:r>
            <w:t xml:space="preserve"> % </w:t>
          </w:r>
          <w:r>
            <w:rPr>
              <w:color w:val="000000"/>
            </w:rPr>
            <w:t xml:space="preserve">к уровню </w:t>
          </w:r>
          <w:r>
            <w:t xml:space="preserve">2022 года. 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 xml:space="preserve">В среднем по муниципальным районам в 2023 году удельная величина потребления </w:t>
          </w:r>
          <w:r>
            <w:rPr>
              <w:color w:val="000000"/>
            </w:rPr>
            <w:t xml:space="preserve">тепловой </w:t>
          </w:r>
          <w:r>
            <w:t xml:space="preserve">энергии в расчете на 1 проживающего в многоквартирных домах составила </w:t>
          </w:r>
          <w:r>
            <w:rPr>
              <w:color w:val="000000"/>
            </w:rPr>
            <w:t xml:space="preserve">0,17 </w:t>
          </w:r>
          <w:r>
            <w:t xml:space="preserve"> </w:t>
          </w:r>
          <w:r>
            <w:rPr>
              <w:color w:val="000000"/>
            </w:rPr>
            <w:t xml:space="preserve">Гкал на 1 кв. </w:t>
          </w:r>
          <w:r>
            <w:rPr>
              <w:color w:val="000000"/>
            </w:rPr>
            <w:t>метр площади (100% к</w:t>
          </w:r>
          <w:r>
            <w:rPr>
              <w:color w:val="000000"/>
            </w:rPr>
            <w:t xml:space="preserve"> уровню </w:t>
          </w:r>
          <w:r>
            <w:t>2022 года).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lastRenderedPageBreak/>
            <w:t xml:space="preserve">В среднем по </w:t>
          </w:r>
          <w:r>
            <w:rPr>
              <w:color w:val="000000"/>
            </w:rPr>
            <w:t>Брянской области</w:t>
          </w:r>
          <w:r>
            <w:t xml:space="preserve"> в 2023 году удельная величина потребления тепловой энергии в расчете на 1 кв. метр общей площади в многоквартирных домах составила </w:t>
          </w:r>
          <w:r>
            <w:rPr>
              <w:color w:val="000000"/>
            </w:rPr>
            <w:t>0,16</w:t>
          </w:r>
          <w:r>
            <w:t xml:space="preserve"> Гкал (</w:t>
          </w:r>
          <w:r>
            <w:rPr>
              <w:color w:val="000000"/>
            </w:rPr>
            <w:t xml:space="preserve">100% к </w:t>
          </w:r>
          <w:r>
            <w:t xml:space="preserve">уровню </w:t>
          </w:r>
          <w:r>
            <w:rPr>
              <w:color w:val="000000"/>
            </w:rPr>
            <w:t>2022</w:t>
          </w:r>
          <w:r>
            <w:t xml:space="preserve"> года).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>Снижение показател</w:t>
          </w:r>
          <w:r>
            <w:t xml:space="preserve">я </w:t>
          </w:r>
          <w:r>
            <w:rPr>
              <w:color w:val="000000"/>
            </w:rPr>
            <w:t>в 2023 году отмечено</w:t>
          </w:r>
          <w:r>
            <w:t xml:space="preserve"> в группе городских округов — в г. Сельцо (на 14,29%), в г. Клинцы (на 8,33%), в г. Новозыбкове (на 2,35%); в группе муниципальных  районов — в Унечском (на 43,33%),  Жуковском округе (на 6,67%), Брасовском (на 5,88%), Климовском (на </w:t>
          </w:r>
          <w:r>
            <w:t>9,9%), Навлинском (на 6,25%), Трубчевском (на 5,88%), Погарском (на 4,76%), Жирятинском (на 0,34%).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>Рост показателя в 2023 году отмечен в городском округе Брянск (на 25,69%), в Выгоничском (на 13,33%), Гордеевском (на 8,33%), Дубровском (на 13,64%), Дятько</w:t>
          </w:r>
          <w:r>
            <w:rPr>
              <w:color w:val="000000"/>
            </w:rPr>
            <w:t xml:space="preserve">вском (в 1,9 р.), Карачевском (на 7,14%), Комаричском (на 15,79%), Суражском (на 6,67%) муниципальных районах. </w:t>
          </w:r>
        </w:p>
        <w:p w:rsidR="008E239A" w:rsidRDefault="00D61E62">
          <w:pPr>
            <w:pBdr>
              <w:bottom w:val="single" w:sz="4" w:space="0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 xml:space="preserve">Наименьшее (лучшее) значение показателя в группе городских округов отмечено в г. Клинцы (0,11 Гкал на 1 кв. метр площади), г. Сельцо (0,12 Гкал </w:t>
          </w:r>
          <w:r>
            <w:rPr>
              <w:color w:val="000000"/>
            </w:rPr>
            <w:t>на 1 кв. метр площади), г. Новозыбкове (0,13 Гкал на 1 кв. метр площади); в группе муниципальных районов — в Почепском (0,02 Гкал на 1 кв. метр площади), Суземском ( 0,03 Гкал на 1 кв. метр площади), Стародубском муниципальном округе (0,06 Гкал на 1 кв. ме</w:t>
          </w:r>
          <w:r>
            <w:rPr>
              <w:color w:val="000000"/>
            </w:rPr>
            <w:t>тр площади).</w:t>
          </w:r>
        </w:p>
        <w:p w:rsidR="008E239A" w:rsidRDefault="00D61E62">
          <w:pPr>
            <w:pBdr>
              <w:bottom w:val="single" w:sz="4" w:space="0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>Потребления тепловой энергии в расчете на 1 проживающего в многоквартирных домах на</w:t>
          </w:r>
          <w:r>
            <w:t xml:space="preserve"> уровне 20</w:t>
          </w:r>
          <w:r>
            <w:rPr>
              <w:color w:val="000000"/>
            </w:rPr>
            <w:t>22</w:t>
          </w:r>
          <w:r>
            <w:t xml:space="preserve"> года </w:t>
          </w:r>
          <w:r>
            <w:rPr>
              <w:color w:val="000000"/>
            </w:rPr>
            <w:t xml:space="preserve">сохранилось </w:t>
          </w:r>
          <w:r>
            <w:t xml:space="preserve">в </w:t>
          </w:r>
          <w:r>
            <w:rPr>
              <w:color w:val="000000"/>
            </w:rPr>
            <w:t>12</w:t>
          </w:r>
          <w:r>
            <w:t xml:space="preserve"> муниципальных образованиях области: в городском округе г. Фокино,  в  </w:t>
          </w:r>
          <w:r>
            <w:rPr>
              <w:color w:val="000000"/>
            </w:rPr>
            <w:t xml:space="preserve">Брянском, Злынковском, Клетнянском, Клинцовском, </w:t>
          </w:r>
          <w:r>
            <w:t>Красно</w:t>
          </w:r>
          <w:r>
            <w:t>горском, Мглинском, Почепск</w:t>
          </w:r>
          <w:r>
            <w:rPr>
              <w:color w:val="000000"/>
            </w:rPr>
            <w:t>ом</w:t>
          </w:r>
          <w:r>
            <w:t>, Рогнединск</w:t>
          </w:r>
          <w:r>
            <w:rPr>
              <w:color w:val="000000"/>
            </w:rPr>
            <w:t>ом</w:t>
          </w:r>
          <w:r>
            <w:t>, Севск</w:t>
          </w:r>
          <w:r>
            <w:rPr>
              <w:color w:val="000000"/>
            </w:rPr>
            <w:t>ом, Суземском; в Стародубском муниципальном округе</w:t>
          </w:r>
          <w:r>
            <w:t>.</w:t>
          </w:r>
        </w:p>
        <w:p w:rsidR="008E239A" w:rsidRDefault="008E239A">
          <w:pPr>
            <w:pBdr>
              <w:bottom w:val="single" w:sz="4" w:space="31" w:color="FFFFFF"/>
            </w:pBdr>
            <w:suppressAutoHyphens/>
            <w:ind w:firstLine="709"/>
            <w:jc w:val="both"/>
            <w:rPr>
              <w:bCs/>
              <w:u w:val="single"/>
            </w:rPr>
          </w:pP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bCs/>
              <w:u w:val="single"/>
            </w:rPr>
            <w:t>Удельная величина потребления горячей воды в многоквартирных домах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bCs/>
            </w:rPr>
            <w:t xml:space="preserve">В среднем по городским округам в 2023 году удельная величина потребления горячей воды в расчете на 1 проживающего в многоквартирных домах </w:t>
          </w:r>
          <w:r>
            <w:rPr>
              <w:bCs/>
              <w:color w:val="000000"/>
            </w:rPr>
            <w:t>увелич</w:t>
          </w:r>
          <w:r>
            <w:rPr>
              <w:bCs/>
            </w:rPr>
            <w:t xml:space="preserve">илась на </w:t>
          </w:r>
          <w:r>
            <w:rPr>
              <w:bCs/>
              <w:color w:val="000000"/>
            </w:rPr>
            <w:t>1,05</w:t>
          </w:r>
          <w:r>
            <w:rPr>
              <w:bCs/>
            </w:rPr>
            <w:t xml:space="preserve">% </w:t>
          </w:r>
          <w:r>
            <w:rPr>
              <w:bCs/>
              <w:color w:val="000000"/>
            </w:rPr>
            <w:t>к уровню</w:t>
          </w:r>
          <w:r>
            <w:rPr>
              <w:bCs/>
            </w:rPr>
            <w:t xml:space="preserve"> 2022 года и составила </w:t>
          </w:r>
          <w:r>
            <w:rPr>
              <w:bCs/>
              <w:color w:val="000000"/>
            </w:rPr>
            <w:t>12,55</w:t>
          </w:r>
          <w:r>
            <w:rPr>
              <w:bCs/>
            </w:rPr>
            <w:t xml:space="preserve"> м3/чел., в муниципальных районах -  на </w:t>
          </w:r>
          <w:r>
            <w:rPr>
              <w:bCs/>
              <w:color w:val="000000"/>
            </w:rPr>
            <w:t>0,61</w:t>
          </w:r>
          <w:r>
            <w:rPr>
              <w:bCs/>
            </w:rPr>
            <w:t xml:space="preserve">% и составила </w:t>
          </w:r>
          <w:r>
            <w:rPr>
              <w:bCs/>
              <w:color w:val="000000"/>
            </w:rPr>
            <w:t>9,9</w:t>
          </w:r>
          <w:r>
            <w:rPr>
              <w:bCs/>
              <w:color w:val="000000"/>
            </w:rPr>
            <w:t>6</w:t>
          </w:r>
          <w:r>
            <w:rPr>
              <w:bCs/>
            </w:rPr>
            <w:t xml:space="preserve"> м3/чел. 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bCs/>
            </w:rPr>
            <w:t xml:space="preserve">В среднем по </w:t>
          </w:r>
          <w:r>
            <w:rPr>
              <w:bCs/>
              <w:color w:val="000000"/>
            </w:rPr>
            <w:t>Брянской области</w:t>
          </w:r>
          <w:r>
            <w:rPr>
              <w:bCs/>
            </w:rPr>
            <w:t xml:space="preserve"> в 2023 году удельная величина потребления горячей воды в расчете на 1 проживающего в многоквартирных домах составила </w:t>
          </w:r>
          <w:r w:rsidRPr="00AD6A4D">
            <w:rPr>
              <w:bCs/>
              <w:color w:val="000000"/>
            </w:rPr>
            <w:t>10,38</w:t>
          </w:r>
          <w:r>
            <w:rPr>
              <w:bCs/>
            </w:rPr>
            <w:t xml:space="preserve"> м3/чел., что на </w:t>
          </w:r>
          <w:r>
            <w:rPr>
              <w:bCs/>
              <w:color w:val="000000"/>
            </w:rPr>
            <w:t>0,68</w:t>
          </w:r>
          <w:r>
            <w:rPr>
              <w:bCs/>
            </w:rPr>
            <w:t xml:space="preserve"> % </w:t>
          </w:r>
          <w:r>
            <w:rPr>
              <w:bCs/>
              <w:color w:val="000000"/>
            </w:rPr>
            <w:t>больше</w:t>
          </w:r>
          <w:r>
            <w:rPr>
              <w:bCs/>
            </w:rPr>
            <w:t xml:space="preserve"> уровня 2022 года.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bCs/>
            </w:rPr>
            <w:t xml:space="preserve">Потребление горячей воды в 2023 году </w:t>
          </w:r>
          <w:r>
            <w:rPr>
              <w:bCs/>
              <w:color w:val="000000"/>
            </w:rPr>
            <w:t>увеличи</w:t>
          </w:r>
          <w:r>
            <w:rPr>
              <w:bCs/>
              <w:color w:val="000000"/>
            </w:rPr>
            <w:t>лось</w:t>
          </w:r>
          <w:r>
            <w:rPr>
              <w:bCs/>
            </w:rPr>
            <w:t xml:space="preserve"> в городском округе г.Сельцо (на 7,57%), в Жуковском муниципальном округе (на 23,13%), в Погарском (на 13,58%), Унечском (на 5,71%), Выгоничском (на 4,4 %), Брянском (на 3,82%), Карачевском (на 2,89%), Дубровском (на 1,65%), Клинцовском (на 0,1%) район</w:t>
          </w:r>
          <w:r>
            <w:rPr>
              <w:bCs/>
            </w:rPr>
            <w:t>ах.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bCs/>
            </w:rPr>
            <w:t xml:space="preserve">Потребление горячей воды в 2023 году снизилось в группе городских округов — в г. Брянске (на 3,06%), г. Новозыбкове (на 1,16%), г. Фокино (на </w:t>
          </w:r>
          <w:r>
            <w:rPr>
              <w:bCs/>
            </w:rPr>
            <w:lastRenderedPageBreak/>
            <w:t>0,06%); в группе муниципальных районов — в Климовском (на 19,16%), Мглинском (на 10,6%), Дятьковском (на 5,56%</w:t>
          </w:r>
          <w:r>
            <w:rPr>
              <w:bCs/>
            </w:rPr>
            <w:t>), Суражском (на 4,49%), Злынковском (на 2,67%), Трубчевском (на 1,37%), Навлинском (на 0,8%), Жирятинском (на 0,69%) районах.</w:t>
          </w:r>
        </w:p>
        <w:p w:rsidR="008E239A" w:rsidRDefault="00D61E62">
          <w:pPr>
            <w:pBdr>
              <w:bottom w:val="single" w:sz="4" w:space="0" w:color="FFFFFF"/>
            </w:pBdr>
            <w:suppressAutoHyphens/>
            <w:ind w:firstLine="709"/>
            <w:jc w:val="both"/>
          </w:pPr>
          <w:r>
            <w:rPr>
              <w:bCs/>
              <w:color w:val="000000"/>
            </w:rPr>
            <w:t xml:space="preserve">В городском округе г. Клинцы, а также в Клетнянском, Почепском муниципальных районах потребление горячей воды осталось на уровне </w:t>
          </w:r>
          <w:r>
            <w:rPr>
              <w:bCs/>
              <w:color w:val="000000"/>
            </w:rPr>
            <w:t>2022 года.</w:t>
          </w:r>
        </w:p>
        <w:p w:rsidR="008E239A" w:rsidRDefault="00D61E62">
          <w:pPr>
            <w:pBdr>
              <w:bottom w:val="single" w:sz="4" w:space="0" w:color="FFFFFF"/>
            </w:pBdr>
            <w:suppressAutoHyphens/>
            <w:ind w:firstLine="709"/>
            <w:jc w:val="both"/>
          </w:pPr>
          <w:r>
            <w:rPr>
              <w:bCs/>
              <w:color w:val="000000"/>
            </w:rPr>
            <w:t xml:space="preserve">Наименьшее (лучшее) значение показателя в группе городских округов отмечено в г. Клинцы (5,69 </w:t>
          </w:r>
          <w:r>
            <w:rPr>
              <w:bCs/>
              <w:color w:val="000000"/>
            </w:rPr>
            <w:t>м3/чел.</w:t>
          </w:r>
          <w:r>
            <w:rPr>
              <w:bCs/>
              <w:color w:val="000000"/>
            </w:rPr>
            <w:t xml:space="preserve">), г. Брянске (11,1 </w:t>
          </w:r>
          <w:r>
            <w:rPr>
              <w:bCs/>
              <w:color w:val="000000"/>
            </w:rPr>
            <w:t>м3/чел</w:t>
          </w:r>
          <w:r>
            <w:rPr>
              <w:bCs/>
              <w:color w:val="000000"/>
            </w:rPr>
            <w:t xml:space="preserve">.), г. Новозыбкове (12,8 </w:t>
          </w:r>
          <w:r>
            <w:rPr>
              <w:bCs/>
              <w:color w:val="000000"/>
            </w:rPr>
            <w:t>м3/чел.</w:t>
          </w:r>
          <w:r>
            <w:rPr>
              <w:bCs/>
              <w:color w:val="000000"/>
            </w:rPr>
            <w:t xml:space="preserve">); в группе муниципальных районов — в Злынковском (0,73 </w:t>
          </w:r>
          <w:r>
            <w:rPr>
              <w:bCs/>
              <w:color w:val="000000"/>
            </w:rPr>
            <w:t>м3/чел.</w:t>
          </w:r>
          <w:r>
            <w:rPr>
              <w:bCs/>
              <w:color w:val="000000"/>
            </w:rPr>
            <w:t xml:space="preserve">), Жирятинском (1,43 </w:t>
          </w:r>
          <w:r>
            <w:rPr>
              <w:bCs/>
              <w:color w:val="000000"/>
            </w:rPr>
            <w:t>м3</w:t>
          </w:r>
          <w:r>
            <w:rPr>
              <w:bCs/>
              <w:color w:val="000000"/>
            </w:rPr>
            <w:t>/чел.</w:t>
          </w:r>
          <w:r>
            <w:rPr>
              <w:bCs/>
              <w:color w:val="000000"/>
            </w:rPr>
            <w:t xml:space="preserve">), Карачевском (1,78 </w:t>
          </w:r>
          <w:r>
            <w:rPr>
              <w:bCs/>
              <w:color w:val="000000"/>
            </w:rPr>
            <w:t>м3/чел.</w:t>
          </w:r>
          <w:r>
            <w:rPr>
              <w:bCs/>
              <w:color w:val="000000"/>
            </w:rPr>
            <w:t>).</w:t>
          </w:r>
        </w:p>
        <w:p w:rsidR="008E239A" w:rsidRDefault="008E239A">
          <w:pPr>
            <w:pBdr>
              <w:bottom w:val="single" w:sz="4" w:space="0" w:color="FFFFFF"/>
            </w:pBdr>
            <w:suppressAutoHyphens/>
            <w:ind w:firstLine="709"/>
            <w:jc w:val="both"/>
          </w:pP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u w:val="single"/>
            </w:rPr>
            <w:t>Удельная величина потребления холодной воды в многоквартирных домах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bCs/>
              <w:color w:val="000000"/>
            </w:rPr>
            <w:t>В среднем по городским округам в 2023 году удельная величина п</w:t>
          </w:r>
          <w:r>
            <w:rPr>
              <w:bCs/>
            </w:rPr>
            <w:t xml:space="preserve">отребления </w:t>
          </w:r>
          <w:r>
            <w:rPr>
              <w:bCs/>
              <w:color w:val="000000"/>
            </w:rPr>
            <w:t>холодной</w:t>
          </w:r>
          <w:r>
            <w:rPr>
              <w:bCs/>
            </w:rPr>
            <w:t xml:space="preserve"> воды в расчете на 1 проживающего в многоквартирных домах снизилась на 0,17% к уровню 2022 года и составило 40,33%; в группе муниципальных районов — увеличилась на 1,51% и оставила 32,33%.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bCs/>
            </w:rPr>
            <w:t xml:space="preserve">Средняя удельная величина потребления холодной воды в расчете на 1 </w:t>
          </w:r>
          <w:r>
            <w:rPr>
              <w:bCs/>
            </w:rPr>
            <w:t xml:space="preserve">проживающего в многоквартирных домах по </w:t>
          </w:r>
          <w:r>
            <w:rPr>
              <w:bCs/>
              <w:color w:val="000000"/>
            </w:rPr>
            <w:t>Брянской области</w:t>
          </w:r>
          <w:r>
            <w:rPr>
              <w:bCs/>
            </w:rPr>
            <w:t xml:space="preserve"> в 2023 году составила </w:t>
          </w:r>
          <w:r>
            <w:rPr>
              <w:bCs/>
              <w:color w:val="000000"/>
            </w:rPr>
            <w:t xml:space="preserve">33,62 </w:t>
          </w:r>
          <w:r>
            <w:rPr>
              <w:bCs/>
            </w:rPr>
            <w:t>м3/чел, что на 1,17% больше уровня 2022 года.</w:t>
          </w:r>
        </w:p>
        <w:p w:rsidR="008E239A" w:rsidRDefault="00D61E62">
          <w:pPr>
            <w:pBdr>
              <w:bottom w:val="single" w:sz="4" w:space="0" w:color="FFFFFF"/>
            </w:pBdr>
            <w:suppressAutoHyphens/>
            <w:ind w:firstLine="709"/>
            <w:jc w:val="both"/>
          </w:pPr>
          <w:r>
            <w:rPr>
              <w:bCs/>
            </w:rPr>
            <w:t>Увеличился показатель в группе городских округов — в г. Сельцо (на 1,22%), в г. Брянске (на 0,2%); в группе муниципальных рай</w:t>
          </w:r>
          <w:r>
            <w:rPr>
              <w:bCs/>
            </w:rPr>
            <w:t>онов — в Унечском (на 42,98%), в Брянском (на 15,18%), Дятьковском (на 15,05%), Погарском (на 13,64%), Красногорском (на 4,59%), Выгоничском (на 2,25%), Дубровском (на 0,79%), Карачевском (на 0,49%), Суземском (на 0,32%).</w:t>
          </w:r>
        </w:p>
        <w:p w:rsidR="008E239A" w:rsidRDefault="00D61E62">
          <w:pPr>
            <w:pBdr>
              <w:bottom w:val="single" w:sz="4" w:space="0" w:color="FFFFFF"/>
            </w:pBdr>
            <w:suppressAutoHyphens/>
            <w:ind w:firstLine="709"/>
            <w:jc w:val="both"/>
          </w:pPr>
          <w:r>
            <w:rPr>
              <w:bCs/>
            </w:rPr>
            <w:t>В городском округе г. Фокино, в Кл</w:t>
          </w:r>
          <w:r>
            <w:rPr>
              <w:bCs/>
            </w:rPr>
            <w:t xml:space="preserve">етнянском </w:t>
          </w:r>
          <w:r>
            <w:rPr>
              <w:bCs/>
              <w:color w:val="000000"/>
            </w:rPr>
            <w:t>муниципальном районе потребление холодной воды осталось на уровне 2022 года.</w:t>
          </w:r>
        </w:p>
        <w:p w:rsidR="008E239A" w:rsidRDefault="00D61E62">
          <w:pPr>
            <w:pBdr>
              <w:bottom w:val="single" w:sz="4" w:space="0" w:color="FFFFFF"/>
            </w:pBdr>
            <w:suppressAutoHyphens/>
            <w:ind w:firstLine="709"/>
            <w:jc w:val="both"/>
          </w:pPr>
          <w:r>
            <w:rPr>
              <w:bCs/>
              <w:color w:val="000000"/>
            </w:rPr>
            <w:t xml:space="preserve">Наименьшее (лучшее) значение показателя в группе городских округов отмечено в г. Новозыбкове (29,7 </w:t>
          </w:r>
          <w:r>
            <w:rPr>
              <w:bCs/>
              <w:color w:val="000000"/>
            </w:rPr>
            <w:t>м3/чел.</w:t>
          </w:r>
          <w:r>
            <w:rPr>
              <w:bCs/>
              <w:color w:val="000000"/>
            </w:rPr>
            <w:t xml:space="preserve">), г. Фокино (40,3 м3/чел.), г. Клинцы (41,3 </w:t>
          </w:r>
          <w:r>
            <w:rPr>
              <w:bCs/>
              <w:color w:val="000000"/>
            </w:rPr>
            <w:t>м3/чел.</w:t>
          </w:r>
          <w:r>
            <w:rPr>
              <w:bCs/>
              <w:color w:val="000000"/>
            </w:rPr>
            <w:t>); в группе</w:t>
          </w:r>
          <w:r>
            <w:rPr>
              <w:bCs/>
              <w:color w:val="000000"/>
            </w:rPr>
            <w:t xml:space="preserve"> муниципальных районов — в Рогнединском (20,2 </w:t>
          </w:r>
          <w:r>
            <w:rPr>
              <w:bCs/>
              <w:color w:val="000000"/>
            </w:rPr>
            <w:t>м3/чел.</w:t>
          </w:r>
          <w:r>
            <w:rPr>
              <w:bCs/>
              <w:color w:val="000000"/>
            </w:rPr>
            <w:t xml:space="preserve">), Погарском (25,0 </w:t>
          </w:r>
          <w:r>
            <w:rPr>
              <w:bCs/>
              <w:color w:val="000000"/>
            </w:rPr>
            <w:t>м3/чел.</w:t>
          </w:r>
          <w:r>
            <w:rPr>
              <w:bCs/>
              <w:color w:val="000000"/>
            </w:rPr>
            <w:t xml:space="preserve">), Мглинском (25,06 </w:t>
          </w:r>
          <w:r>
            <w:rPr>
              <w:bCs/>
              <w:color w:val="000000"/>
            </w:rPr>
            <w:t>м3/чел.</w:t>
          </w:r>
          <w:r>
            <w:rPr>
              <w:bCs/>
              <w:color w:val="000000"/>
            </w:rPr>
            <w:t>).</w:t>
          </w:r>
        </w:p>
        <w:p w:rsidR="008E239A" w:rsidRDefault="008E239A">
          <w:pPr>
            <w:pBdr>
              <w:bottom w:val="single" w:sz="4" w:space="0" w:color="FFFFFF"/>
            </w:pBdr>
            <w:suppressAutoHyphens/>
            <w:ind w:firstLine="709"/>
            <w:jc w:val="both"/>
          </w:pP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u w:val="single"/>
            </w:rPr>
            <w:t xml:space="preserve">Удельная величина потребления природного газа 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>Средняя удельная величина потребления природного газа в расчете на 1 проживающего в многоквартирных</w:t>
          </w:r>
          <w:r>
            <w:t xml:space="preserve"> домах в городских округах в 2023 году составила </w:t>
          </w:r>
          <w:r>
            <w:rPr>
              <w:color w:val="000000"/>
            </w:rPr>
            <w:t>269,02</w:t>
          </w:r>
          <w:r>
            <w:t xml:space="preserve"> м3/чел., что на </w:t>
          </w:r>
          <w:r>
            <w:rPr>
              <w:color w:val="000000"/>
            </w:rPr>
            <w:t>0,62</w:t>
          </w:r>
          <w:r>
            <w:t xml:space="preserve"> % </w:t>
          </w:r>
          <w:r>
            <w:rPr>
              <w:color w:val="000000"/>
            </w:rPr>
            <w:t>меньше</w:t>
          </w:r>
          <w:r>
            <w:t xml:space="preserve">, чем в 2022 году. 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 xml:space="preserve">Средняя удельная величина потребления природного газа в расчете на 1 проживающего в многоквартирных домах в муниципальных районах в 2023 году составила </w:t>
          </w:r>
          <w:r>
            <w:rPr>
              <w:color w:val="000000"/>
            </w:rPr>
            <w:t>460,39</w:t>
          </w:r>
          <w:r>
            <w:t xml:space="preserve"> м3/чел., что на </w:t>
          </w:r>
          <w:r>
            <w:rPr>
              <w:color w:val="000000"/>
            </w:rPr>
            <w:t>1,81</w:t>
          </w:r>
          <w:r>
            <w:t xml:space="preserve"> % </w:t>
          </w:r>
          <w:r>
            <w:rPr>
              <w:color w:val="000000"/>
            </w:rPr>
            <w:t>больше</w:t>
          </w:r>
          <w:r>
            <w:t>, чем в 2022 году.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 xml:space="preserve">Средняя удельная величина потребления природного </w:t>
          </w:r>
          <w:r>
            <w:t xml:space="preserve">газа в расчете на одного проживающего в многоквартирных домах в </w:t>
          </w:r>
          <w:r>
            <w:rPr>
              <w:color w:val="000000"/>
            </w:rPr>
            <w:t>среднем</w:t>
          </w:r>
          <w:r>
            <w:t xml:space="preserve"> по </w:t>
          </w:r>
          <w:r>
            <w:rPr>
              <w:color w:val="000000"/>
            </w:rPr>
            <w:t xml:space="preserve">Брянской области </w:t>
          </w:r>
          <w:r>
            <w:t xml:space="preserve">в 2023 году </w:t>
          </w:r>
          <w:r>
            <w:rPr>
              <w:color w:val="000000"/>
            </w:rPr>
            <w:t>увеличилась</w:t>
          </w:r>
          <w:r>
            <w:t xml:space="preserve"> на </w:t>
          </w:r>
          <w:r>
            <w:rPr>
              <w:color w:val="000000"/>
            </w:rPr>
            <w:t>1,56</w:t>
          </w:r>
          <w:r>
            <w:t xml:space="preserve"> % к уровню 2022 года и составила </w:t>
          </w:r>
          <w:r>
            <w:rPr>
              <w:color w:val="000000"/>
            </w:rPr>
            <w:t xml:space="preserve">429,53 </w:t>
          </w:r>
          <w:r>
            <w:t>м3/чел.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lastRenderedPageBreak/>
            <w:t xml:space="preserve">Снижение показателя </w:t>
          </w:r>
          <w:r>
            <w:rPr>
              <w:color w:val="000000"/>
            </w:rPr>
            <w:t>в 2023 году отмечено</w:t>
          </w:r>
          <w:r>
            <w:t xml:space="preserve"> в г. Брянске, г. Сельцо, г.Фокино </w:t>
          </w:r>
          <w:r>
            <w:rPr>
              <w:color w:val="000000"/>
            </w:rPr>
            <w:t xml:space="preserve">и в 14 </w:t>
          </w:r>
          <w:r>
            <w:t>му</w:t>
          </w:r>
          <w:r>
            <w:t>ниципальных районах.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 xml:space="preserve">Наибольшее снижение показателя </w:t>
          </w:r>
          <w:r>
            <w:rPr>
              <w:color w:val="000000"/>
            </w:rPr>
            <w:t>сложилось</w:t>
          </w:r>
          <w:r>
            <w:t xml:space="preserve"> в </w:t>
          </w:r>
          <w:r>
            <w:rPr>
              <w:color w:val="000000"/>
            </w:rPr>
            <w:t>Климовском (на 15,55%), Комаричском (на 5,76%), Почепском (на 4,61%) муниципальных районах и городском округе Брянск (на 4,45%).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>Рост показателя в 2023 году отмечен в городских округах — г. Кл</w:t>
          </w:r>
          <w:r>
            <w:rPr>
              <w:color w:val="000000"/>
            </w:rPr>
            <w:t>инцы, г.Новозыбкове; в муниципальных районах — в Выгоничском, Дятьковском,  Карачевском, Клетнянском, Мглинском, Погарском, Севском, Суземском, Суражском, Унечском, Жуковском муниципальном округе. В Клинцовском муниципальном районе показатель за 2023 год н</w:t>
          </w:r>
          <w:r>
            <w:rPr>
              <w:color w:val="000000"/>
            </w:rPr>
            <w:t>е изменился и остался на уровне 2022 года.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bCs/>
              <w:color w:val="000000"/>
            </w:rPr>
            <w:t>Наименьшее (лучшее) значение показателя в группе городских округов отмечено в г. Брянске (160,7 куб. метров на 1 проживающего), г. Клинцы (232,08 куб. метров на 1 проживающего), г. Сельцо (288 куб. метров на 1 про</w:t>
          </w:r>
          <w:r>
            <w:rPr>
              <w:bCs/>
              <w:color w:val="000000"/>
            </w:rPr>
            <w:t>живающего); в группе муниципальных районов — в Стародубском округе (208 куб. метров на 1 проживающего), Суражском (250 куб. метров на 1 проживающего), Красногорском (258,3 куб. метров на 1 проживающего) районах.</w:t>
          </w:r>
        </w:p>
        <w:p w:rsidR="008E239A" w:rsidRDefault="008E239A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b/>
            </w:rPr>
            <w:t>40.</w:t>
          </w:r>
          <w:r>
            <w:t xml:space="preserve"> </w:t>
          </w:r>
          <w:r>
            <w:rPr>
              <w:b/>
              <w:spacing w:val="-4"/>
            </w:rPr>
            <w:t>Удельная величина потребления энергетич</w:t>
          </w:r>
          <w:r>
            <w:rPr>
              <w:b/>
              <w:spacing w:val="-4"/>
            </w:rPr>
            <w:t xml:space="preserve">еских ресурсов муниципальными бюджетными учреждениями (электрическая и тепловая энергия, </w:t>
          </w:r>
          <w:r>
            <w:rPr>
              <w:b/>
              <w:spacing w:val="-4"/>
            </w:rPr>
            <w:t>горячая и холодная вода, природный газ), (кВтч на 1 человека населения, Гкал на 1 кв. метр общей площади, куб. метров на 1 человека населения)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 xml:space="preserve">Средняя удельная величина потребления </w:t>
          </w:r>
          <w:r>
            <w:rPr>
              <w:color w:val="000000"/>
            </w:rPr>
            <w:t xml:space="preserve">энергетических ресурсов муниципальными бюджетными учреждениями </w:t>
          </w:r>
          <w:r>
            <w:t>в городских округах в 2023 году составила 81,42</w:t>
          </w:r>
          <w:r>
            <w:rPr>
              <w:color w:val="000000"/>
            </w:rPr>
            <w:t>кВт</w:t>
          </w:r>
          <w:r>
            <w:t xml:space="preserve">/чел., что на </w:t>
          </w:r>
          <w:r>
            <w:rPr>
              <w:color w:val="000000"/>
            </w:rPr>
            <w:t>17,22</w:t>
          </w:r>
          <w:r>
            <w:t xml:space="preserve"> % </w:t>
          </w:r>
          <w:r>
            <w:rPr>
              <w:color w:val="000000"/>
            </w:rPr>
            <w:t>больше</w:t>
          </w:r>
          <w:r>
            <w:t xml:space="preserve">, чем в 2022 году. 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 xml:space="preserve">Средняя удельная величина потребления </w:t>
          </w:r>
          <w:r>
            <w:rPr>
              <w:color w:val="000000"/>
            </w:rPr>
            <w:t xml:space="preserve">энергетических ресурсов муниципальными бюджетными учреждениями </w:t>
          </w:r>
          <w:r>
            <w:t xml:space="preserve">в муниципальных районах в 2023 году составила </w:t>
          </w:r>
          <w:r>
            <w:rPr>
              <w:color w:val="000000"/>
            </w:rPr>
            <w:t>55,64 кВт</w:t>
          </w:r>
          <w:r>
            <w:t xml:space="preserve">/чел., что на </w:t>
          </w:r>
          <w:r>
            <w:rPr>
              <w:color w:val="000000"/>
            </w:rPr>
            <w:t>3,11</w:t>
          </w:r>
          <w:r>
            <w:t xml:space="preserve"> % </w:t>
          </w:r>
          <w:r>
            <w:rPr>
              <w:color w:val="000000"/>
            </w:rPr>
            <w:t>больше</w:t>
          </w:r>
          <w:r>
            <w:t>, чем в 2022 году.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spacing w:val="-4"/>
            </w:rPr>
            <w:t xml:space="preserve">Средняя удельная величина потребления </w:t>
          </w:r>
          <w:r>
            <w:rPr>
              <w:color w:val="000000"/>
              <w:spacing w:val="-4"/>
            </w:rPr>
            <w:t>энергетических ресурсов муниципальными бюджетными учре</w:t>
          </w:r>
          <w:r>
            <w:rPr>
              <w:color w:val="000000"/>
              <w:spacing w:val="-4"/>
            </w:rPr>
            <w:t xml:space="preserve">ждениями </w:t>
          </w:r>
          <w:r>
            <w:rPr>
              <w:spacing w:val="-4"/>
            </w:rPr>
            <w:t xml:space="preserve">по </w:t>
          </w:r>
          <w:r>
            <w:rPr>
              <w:color w:val="000000"/>
              <w:spacing w:val="-4"/>
            </w:rPr>
            <w:t xml:space="preserve">Брянской области </w:t>
          </w:r>
          <w:r>
            <w:rPr>
              <w:spacing w:val="-4"/>
            </w:rPr>
            <w:t xml:space="preserve">в 2023 году </w:t>
          </w:r>
          <w:r>
            <w:rPr>
              <w:color w:val="000000"/>
              <w:spacing w:val="-4"/>
            </w:rPr>
            <w:t>увеличилась</w:t>
          </w:r>
          <w:r>
            <w:rPr>
              <w:spacing w:val="-4"/>
            </w:rPr>
            <w:t xml:space="preserve"> на </w:t>
          </w:r>
          <w:r>
            <w:rPr>
              <w:color w:val="000000"/>
              <w:spacing w:val="-4"/>
            </w:rPr>
            <w:t>5,92</w:t>
          </w:r>
          <w:r>
            <w:rPr>
              <w:spacing w:val="-4"/>
            </w:rPr>
            <w:t xml:space="preserve"> % к уровню 2022 года и составила </w:t>
          </w:r>
          <w:r>
            <w:rPr>
              <w:color w:val="000000"/>
              <w:spacing w:val="-4"/>
            </w:rPr>
            <w:t>59,8 кВт</w:t>
          </w:r>
          <w:r>
            <w:rPr>
              <w:spacing w:val="-4"/>
            </w:rPr>
            <w:t>/чел.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 xml:space="preserve">Снижение показателя </w:t>
          </w:r>
          <w:r>
            <w:rPr>
              <w:color w:val="000000"/>
            </w:rPr>
            <w:t>в 2023 году отмечено</w:t>
          </w:r>
          <w:r>
            <w:t xml:space="preserve"> в </w:t>
          </w:r>
          <w:r>
            <w:rPr>
              <w:color w:val="000000"/>
            </w:rPr>
            <w:t>Брянском, Жирятинском, Клетнянском, Красногорском, Мглинском, Навлинском, Погарском, Рогнединском, Севско</w:t>
          </w:r>
          <w:r>
            <w:rPr>
              <w:color w:val="000000"/>
            </w:rPr>
            <w:t xml:space="preserve">м </w:t>
          </w:r>
          <w:r>
            <w:t xml:space="preserve">муниципальных районах, в </w:t>
          </w:r>
          <w:r>
            <w:rPr>
              <w:color w:val="000000"/>
            </w:rPr>
            <w:t>Стародубском муниципальном округе</w:t>
          </w:r>
          <w:r>
            <w:t>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 xml:space="preserve">Наибольшее снижение показателя </w:t>
          </w:r>
          <w:r>
            <w:rPr>
              <w:color w:val="000000"/>
            </w:rPr>
            <w:t>сложилось</w:t>
          </w:r>
          <w:r>
            <w:t xml:space="preserve"> в </w:t>
          </w:r>
          <w:r>
            <w:rPr>
              <w:color w:val="000000"/>
            </w:rPr>
            <w:t>Брянском (на 21,45%), Севском (на 17,48%), Погарском (на 7,45%) муниципальных районах.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 xml:space="preserve">Рост показателя в 2023 году отмечен во всех городских округах и </w:t>
          </w:r>
          <w:r>
            <w:rPr>
              <w:color w:val="000000"/>
            </w:rPr>
            <w:t>в 16 муниципальных районах.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color w:val="000000"/>
              <w:spacing w:val="-4"/>
            </w:rPr>
            <w:t>Наименьшее (лучшее) значение показателя в группе городских округов - в г. Клинцы (40,62 кВт.час/чел.) г. Фокино (69,3 кВт.час/чел.), г. Новозыбкове (76,2 кВт.час/чел.); в группе муниципальных районов — в Брасовском (19,9 кВт.час</w:t>
          </w:r>
          <w:r>
            <w:rPr>
              <w:color w:val="000000"/>
              <w:spacing w:val="-4"/>
            </w:rPr>
            <w:t>/чел.), Клетнянском (28,1 кВт.час/чел.), Трубчевском (29,1 кВт.час/чел.).</w:t>
          </w:r>
        </w:p>
        <w:p w:rsidR="008E239A" w:rsidRDefault="008E239A">
          <w:pPr>
            <w:pBdr>
              <w:bottom w:val="single" w:sz="4" w:space="31" w:color="FFFFFF"/>
            </w:pBdr>
            <w:suppressAutoHyphens/>
            <w:ind w:firstLine="709"/>
            <w:jc w:val="both"/>
            <w:rPr>
              <w:u w:val="single"/>
            </w:rPr>
          </w:pP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u w:val="single"/>
            </w:rPr>
            <w:lastRenderedPageBreak/>
            <w:t>Перечень мероприятий по повышению результативности деятельности органов местного самоуправления городских округов и муниципальных районов в сфере «Энергосбережение и повышение энерг</w:t>
          </w:r>
          <w:r>
            <w:rPr>
              <w:u w:val="single"/>
            </w:rPr>
            <w:t>етической эффективности»</w:t>
          </w:r>
        </w:p>
        <w:p w:rsidR="008E239A" w:rsidRDefault="008E239A">
          <w:pPr>
            <w:pBdr>
              <w:bottom w:val="single" w:sz="4" w:space="31" w:color="FFFFFF"/>
            </w:pBdr>
            <w:suppressAutoHyphens/>
            <w:ind w:firstLine="709"/>
            <w:jc w:val="both"/>
            <w:rPr>
              <w:color w:val="000000"/>
              <w:u w:val="single"/>
            </w:rPr>
          </w:pP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>1. Проведение реконструкции тепловых узлов с установкой автоматики регулирования потребления топливно-энергетических ресурсов.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>2. Замена ветхих и аварийных сетей, а также установка энергоэффективного оборудования.</w:t>
          </w:r>
        </w:p>
        <w:p w:rsidR="008E239A" w:rsidRDefault="00D61E62">
          <w:pPr>
            <w:pBdr>
              <w:bottom w:val="single" w:sz="4" w:space="0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>3. Исполнение пр</w:t>
          </w:r>
          <w:r>
            <w:rPr>
              <w:color w:val="000000"/>
            </w:rPr>
            <w:t>ограммы энергосбережения и повышения энергетической эффективности муниципального образования в части разработки мероприятий, направленных на снижение расхода тепловой энергии, горячей и холодной воды в муниципальных учреждениях.</w:t>
          </w:r>
        </w:p>
        <w:p w:rsidR="008E239A" w:rsidRDefault="008E239A">
          <w:pPr>
            <w:spacing w:line="20" w:lineRule="atLeast"/>
            <w:ind w:firstLine="709"/>
            <w:jc w:val="both"/>
            <w:rPr>
              <w:color w:val="000000"/>
            </w:rPr>
          </w:pP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b/>
            </w:rPr>
            <w:t>41. Результаты независимой</w:t>
          </w:r>
          <w:r>
            <w:rPr>
              <w:b/>
            </w:rPr>
            <w:t xml:space="preserve"> оценки качества условий оказания услуг муниципальными организациями в сферах культуры, охраны здоровья, образования, социального обслуживания и иными организациями, расположенными на территориях соответствующих муниципальных образований и оказывающими усл</w:t>
          </w:r>
          <w:r>
            <w:rPr>
              <w:b/>
            </w:rPr>
            <w:t>уги в указанных сферах за счет бюджетных ассигнований бюджетов муниципальных образований (баллы):</w:t>
          </w:r>
        </w:p>
        <w:p w:rsidR="008E239A" w:rsidRDefault="008E239A">
          <w:pPr>
            <w:pBdr>
              <w:bottom w:val="single" w:sz="4" w:space="31" w:color="FFFFFF"/>
            </w:pBdr>
            <w:suppressAutoHyphens/>
            <w:ind w:firstLine="709"/>
            <w:jc w:val="both"/>
            <w:rPr>
              <w:b/>
            </w:rPr>
          </w:pP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b/>
              <w:color w:val="000000"/>
            </w:rPr>
            <w:t>в</w:t>
          </w:r>
          <w:r>
            <w:rPr>
              <w:b/>
            </w:rPr>
            <w:t xml:space="preserve"> сфере культуры: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rFonts w:eastAsia="Calibri" w:cs="Calibri"/>
              <w:color w:val="000000"/>
              <w:lang w:eastAsia="ar-SA"/>
            </w:rPr>
            <w:t xml:space="preserve">проведение независимой оценки качества условий оказания услуг </w:t>
          </w:r>
          <w:r>
            <w:t xml:space="preserve">организациями культуры Брянской области осуществляется в соответствии с </w:t>
          </w:r>
          <w:r>
            <w:t>Федеральным законом от 5 декабря 2017 года № 392-ФЗ «О внесении изменений в отдельные законодательные акты Российской Федерации по вопросам совершенствования проведения независимой оценки качества условий оказания услуг организациями в сфере культуры, охра</w:t>
          </w:r>
          <w:r>
            <w:t>ны здоровья, образования, социального обслуживания и федеральными учреждениями медико-социальной экспертизы» и приказом Министерства культуры Российской Федерации от 27 апреля 2018 г. № 599 «Об утверждении показателей, характеризующих общие критерии оценки</w:t>
          </w:r>
          <w:r>
            <w:t xml:space="preserve"> качества условий оказания услуг организациями культуры».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>Независимой организацией — оператором по организации и проведению оценки качества условий оказания услуг организациями культуры региона выступило ООО Исследовательский центр «НОВИ».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>В 202</w:t>
          </w:r>
          <w:r>
            <w:t>3</w:t>
          </w:r>
          <w:r>
            <w:t xml:space="preserve"> году опер</w:t>
          </w:r>
          <w:r>
            <w:t xml:space="preserve">атором была организована и проведена оценка качества условий оказания услуг в </w:t>
          </w:r>
          <w:r>
            <w:rPr>
              <w:color w:val="000000"/>
            </w:rPr>
            <w:t xml:space="preserve">45 </w:t>
          </w:r>
          <w:r>
            <w:t xml:space="preserve">организациях культуры Брянской области.  </w:t>
          </w:r>
          <w:r>
            <w:rPr>
              <w:color w:val="000000"/>
            </w:rPr>
            <w:t>Выборочная совокупность получателей услуг в организациях культуры, отобранных для сбора, обобщения и анализа информации о качестве усл</w:t>
          </w:r>
          <w:r>
            <w:rPr>
              <w:color w:val="000000"/>
            </w:rPr>
            <w:t>овий оказания услуг организациями культуры, составила</w:t>
          </w:r>
          <w:r>
            <w:t xml:space="preserve"> </w:t>
          </w:r>
          <w:r>
            <w:rPr>
              <w:color w:val="000000"/>
            </w:rPr>
            <w:t>21467</w:t>
          </w:r>
          <w:r>
            <w:t xml:space="preserve"> </w:t>
          </w:r>
          <w:r>
            <w:rPr>
              <w:color w:val="000000"/>
            </w:rPr>
            <w:t>респондентов</w:t>
          </w:r>
          <w:r>
            <w:t xml:space="preserve">. Оценка показала высокий уровень качества оказания услуг учреждениями культуры Брянской области. </w:t>
          </w:r>
          <w:r>
            <w:rPr>
              <w:color w:val="000000"/>
            </w:rPr>
            <w:t xml:space="preserve">Средний </w:t>
          </w:r>
          <w:r>
            <w:t xml:space="preserve">бал составил </w:t>
          </w:r>
          <w:r>
            <w:rPr>
              <w:color w:val="000000"/>
            </w:rPr>
            <w:t>90,91 балла.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>Высокими оценками были отмечены критерии: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>открытость</w:t>
          </w:r>
          <w:r>
            <w:rPr>
              <w:color w:val="000000"/>
            </w:rPr>
            <w:t xml:space="preserve"> и доступность информации об организации - 95,05 балла;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lastRenderedPageBreak/>
            <w:t>комфортность условий предоставления услуг - 98,26 балла;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>доброжелательность, вежливость работников организации (учреждения) - 98,77 балла.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rFonts w:eastAsia="Calibri" w:cs="Calibri"/>
              <w:color w:val="000000"/>
              <w:lang w:eastAsia="ar-SA"/>
            </w:rPr>
            <w:t xml:space="preserve">По результатам анализа выявлено ряд проблем в деятельности организаций, связанной с доступностью услуг для </w:t>
          </w:r>
          <w:r>
            <w:t xml:space="preserve">инвалидов (63,83 процента). </w:t>
          </w:r>
        </w:p>
        <w:p w:rsidR="008E239A" w:rsidRDefault="00D61E62">
          <w:pPr>
            <w:pBdr>
              <w:bottom w:val="single" w:sz="4" w:space="0" w:color="FFFFFF"/>
            </w:pBdr>
            <w:suppressAutoHyphens/>
            <w:ind w:firstLine="709"/>
            <w:jc w:val="both"/>
          </w:pPr>
          <w:bookmarkStart w:id="26" w:name="page70R_mcid1"/>
          <w:bookmarkEnd w:id="26"/>
          <w:r>
            <w:t xml:space="preserve">В целях повышения условия оказания услуг организациями культуры Брянской области рекомендовано: </w:t>
          </w:r>
        </w:p>
        <w:p w:rsidR="008E239A" w:rsidRDefault="00D61E62">
          <w:pPr>
            <w:pBdr>
              <w:bottom w:val="single" w:sz="4" w:space="0" w:color="FFFFFF"/>
            </w:pBdr>
            <w:suppressAutoHyphens/>
            <w:ind w:firstLine="709"/>
            <w:jc w:val="both"/>
          </w:pPr>
          <w:r>
            <w:t>своевременное обновлени</w:t>
          </w:r>
          <w:r>
            <w:t>е и наполнение необходимой информацией в соответствии с правилами размещения на официальном сайте в сети «Интернет» и обновления информации об организации культуры в соответствии требованиями законодательства, совершенствование работы сайтов организаций ку</w:t>
          </w:r>
          <w:r>
            <w:t>льтуры;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>обеспечение наличия на официальных сайтах достоверной, полной и актуальной информации, определение периодичности и обновления и графика предоставления данных на сайты организаций культуры</w:t>
          </w:r>
          <w:r>
            <w:t>;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>повышение комфортности условий оказания услуг, в  том числе</w:t>
          </w:r>
          <w:r>
            <w:rPr>
              <w:color w:val="000000"/>
            </w:rPr>
            <w:t xml:space="preserve"> получателей услуг с ограниченными возможностями здоровья и инвалидов, оборудование помещений организаций культуры и прилегающих к ним территорий с учетом доступности для инвалидов;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 xml:space="preserve">активизация взаимодействия с общественностью и формирование у получателей </w:t>
          </w:r>
          <w:r>
            <w:rPr>
              <w:color w:val="000000"/>
            </w:rPr>
            <w:t>услуг привычки получения информации на сайтах и стендах организаций культуры;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color w:val="000000"/>
            </w:rPr>
            <w:t>осуществление мониторинга удовлетворенности получателей услуг качеством предоставляемых услуг;</w:t>
          </w:r>
        </w:p>
        <w:p w:rsidR="008E239A" w:rsidRDefault="00D61E62">
          <w:pPr>
            <w:pBdr>
              <w:bottom w:val="single" w:sz="4" w:space="0" w:color="FFFFFF"/>
            </w:pBdr>
            <w:suppressAutoHyphens/>
            <w:ind w:firstLine="709"/>
            <w:jc w:val="both"/>
          </w:pPr>
          <w:r>
            <w:t>проведение целенаправленной и системной работы по привлечению активных пользователе</w:t>
          </w:r>
          <w:r>
            <w:t>й сайтов организаций культуры, способствование воспитанию информационной культуры.</w:t>
          </w:r>
        </w:p>
        <w:p w:rsidR="008E239A" w:rsidRDefault="008E239A">
          <w:pPr>
            <w:pBdr>
              <w:bottom w:val="single" w:sz="4" w:space="0" w:color="FFFFFF"/>
            </w:pBdr>
            <w:suppressAutoHyphens/>
            <w:ind w:firstLine="709"/>
            <w:jc w:val="both"/>
          </w:pP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rPr>
              <w:b/>
              <w:color w:val="000000"/>
            </w:rPr>
            <w:t>в</w:t>
          </w:r>
          <w:r>
            <w:rPr>
              <w:b/>
            </w:rPr>
            <w:t xml:space="preserve"> сфере образованиям: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>независимая оценка качества условий осуществления образовательной деятельности организациями, осуществляющими образовательную деятельность, проводится</w:t>
          </w:r>
          <w:r>
            <w:t xml:space="preserve"> общественным советом по проведению </w:t>
          </w:r>
          <w:r>
            <w:rPr>
              <w:color w:val="000000"/>
            </w:rPr>
            <w:t>независимой о</w:t>
          </w:r>
          <w:r>
            <w:t xml:space="preserve">ценки качества образовательной деятельности организаций Брянской области, осуществляющих образовательную деятельность. Сбор и обобщение информации о качестве условий осуществления образовательной деятельности организациями, осуществляющими образовательную </w:t>
          </w:r>
          <w:r>
            <w:t xml:space="preserve">деятельность, осуществляется организацией-оператором. </w:t>
          </w:r>
          <w:r>
            <w:t>Информация о р</w:t>
          </w:r>
          <w:r>
            <w:rPr>
              <w:color w:val="000000"/>
            </w:rPr>
            <w:t>езультатах независимой оценки качества оказания услуг (далее НОК) образовательными организациями за 2023 год  размещена на  официальном сайте департамента образования и науки Брянской обла</w:t>
          </w:r>
          <w:r>
            <w:rPr>
              <w:color w:val="000000"/>
            </w:rPr>
            <w:t>сти.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lastRenderedPageBreak/>
            <w:t xml:space="preserve">В рамках проведения независимой оценки качества оказания услуг организациями в сфере образования оператором осуществлен мониторинг в отношении </w:t>
          </w:r>
          <w:r>
            <w:rPr>
              <w:color w:val="000000"/>
            </w:rPr>
            <w:t xml:space="preserve">289 </w:t>
          </w:r>
          <w:r>
            <w:t xml:space="preserve">образовательных организаций, в том числе: 70 общеобразовательных организаций, </w:t>
          </w:r>
          <w:r>
            <w:rPr>
              <w:color w:val="000000"/>
            </w:rPr>
            <w:t xml:space="preserve">136 </w:t>
          </w:r>
          <w:r>
            <w:t>дошкольных организаций</w:t>
          </w:r>
          <w:r>
            <w:t xml:space="preserve">, 16 профессиональных образовательных учреждений, </w:t>
          </w:r>
          <w:r>
            <w:rPr>
              <w:color w:val="000000"/>
            </w:rPr>
            <w:t xml:space="preserve">61 учреждения </w:t>
          </w:r>
          <w:r>
            <w:t>дополнительного образования, 3 частных дошкольных образовательных организаций, 3 частных общеобразовательных организаций. Процент охвата составил 34% от общего количества получателей услуг орг</w:t>
          </w:r>
          <w:r>
            <w:t xml:space="preserve">анизациями в сфере образования. 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>Наилучшие показатели по результатам независимой оценки качества условий оказания услуг муниципальными организациями в сфере образования, сложились в городских округах - г. Брянск, г. Клинцы, г. Новозыбков, в группе муниципа</w:t>
          </w:r>
          <w:r>
            <w:t xml:space="preserve">льных районов - </w:t>
          </w:r>
          <w:r>
            <w:rPr>
              <w:color w:val="000000"/>
            </w:rPr>
            <w:t>в Стародубском, Жуковском муниципальных округах, в Брянском, Унечском</w:t>
          </w:r>
          <w:r>
            <w:t xml:space="preserve">  районах.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 xml:space="preserve">Наименьшие показатели </w:t>
          </w:r>
          <w:r>
            <w:rPr>
              <w:color w:val="000000"/>
            </w:rPr>
            <w:t>в группе</w:t>
          </w:r>
          <w:r>
            <w:t xml:space="preserve"> городских округов - в г. Фокино, г.Новозыбкове, в группе муниципальных районов — в </w:t>
          </w:r>
          <w:r>
            <w:rPr>
              <w:color w:val="000000"/>
            </w:rPr>
            <w:t xml:space="preserve">Брасовском, </w:t>
          </w:r>
          <w:r>
            <w:t xml:space="preserve"> Клетнянском, Почепском районах.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>В</w:t>
          </w:r>
          <w:r>
            <w:t xml:space="preserve"> целом в образовательных учреждениях Брянской области обеспечена полнота, актуальность, открытость и доступность информации об образовательной деятельности.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>По результатам независимой оценки всем образовательным организациям рекомендовано: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>разработать план</w:t>
          </w:r>
          <w:r>
            <w:t xml:space="preserve"> мероприятий на ближайшую и долгосрочную перспективы по обеспечению улучшения условий осуществления образовательной деятельности; 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>подвергнуть внутреннему аудиту (техническому и содержательному) сайты образовательных организаций на основании проведенной оц</w:t>
          </w:r>
          <w:r>
            <w:t xml:space="preserve">енки и по его результатам доработать их с целью сведения к минимуму всех выявленных информационных дефицитов по каждой образовательной организации; 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>привести структуру специального раздела «Сведения об образовательной организации» официальных сайтов образо</w:t>
          </w:r>
          <w:r>
            <w:t xml:space="preserve">вательных организаций в соответствие с требованиями Постановлением Правительства Российской Федерации № 1802 и Приказом Федеральной службы по надзору в сфере образования и науки № 831; 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 xml:space="preserve">обеспечить работу электронных сервисов (форма для подачи электронного </w:t>
          </w:r>
          <w:r>
            <w:t xml:space="preserve">обращения/ жалобы/предложения; раздел «Часто задаваемые вопросы»; получение консультации по оказываемым услугам и пр.) на официальных сайтах образовательных организаций; 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>обеспечить техническую возможность выражения участниками образовательных отношений мн</w:t>
          </w:r>
          <w:r>
            <w:t xml:space="preserve">ения о качестве оказания услуг (наличие анкеты для опроса граждан или гиперссылки на нее) на официальных сайтах образовательных организаций; </w:t>
          </w:r>
        </w:p>
        <w:p w:rsidR="008E239A" w:rsidRDefault="00D61E62">
          <w:pPr>
            <w:pBdr>
              <w:bottom w:val="single" w:sz="4" w:space="31" w:color="FFFFFF"/>
            </w:pBdr>
            <w:suppressAutoHyphens/>
            <w:ind w:firstLine="709"/>
            <w:jc w:val="both"/>
          </w:pPr>
          <w:r>
            <w:t>образовательным организациям, принявшим участие в НОК, оборудовать помещения образовательной организации и прилега</w:t>
          </w:r>
          <w:r>
            <w:t xml:space="preserve">ющей к ней территории с учётом доступности для инвалидов; </w:t>
          </w:r>
        </w:p>
        <w:p w:rsidR="008E239A" w:rsidRDefault="00D61E62">
          <w:pPr>
            <w:pBdr>
              <w:bottom w:val="single" w:sz="4" w:space="0" w:color="FFFFFF"/>
            </w:pBdr>
            <w:suppressAutoHyphens/>
            <w:ind w:firstLine="709"/>
            <w:jc w:val="both"/>
          </w:pPr>
          <w:r>
            <w:lastRenderedPageBreak/>
            <w:t>образовательным организациям, принявшим участие в НОК, обеспечить в образовательной организации условия доступности инвалидам получать образовательные услуги наравне с другими в полном объёме, уста</w:t>
          </w:r>
          <w:r>
            <w:t xml:space="preserve">новленном нормативно-правовыми актами. </w:t>
          </w:r>
        </w:p>
        <w:p w:rsidR="008E239A" w:rsidRDefault="008E239A">
          <w:pPr>
            <w:pBdr>
              <w:bottom w:val="single" w:sz="4" w:space="0" w:color="FFFFFF"/>
            </w:pBdr>
            <w:suppressAutoHyphens/>
            <w:ind w:firstLine="709"/>
            <w:jc w:val="both"/>
          </w:pPr>
        </w:p>
        <w:p w:rsidR="00AD6A4D" w:rsidRDefault="00AD6A4D">
          <w:pPr>
            <w:suppressAutoHyphens/>
            <w:rPr>
              <w:b/>
              <w:bCs/>
            </w:rPr>
          </w:pPr>
          <w:r>
            <w:rPr>
              <w:b/>
              <w:bCs/>
            </w:rPr>
            <w:br w:type="page"/>
          </w:r>
        </w:p>
        <w:p w:rsidR="008E239A" w:rsidRDefault="00D61E62">
          <w:pPr>
            <w:jc w:val="center"/>
          </w:pPr>
          <w:bookmarkStart w:id="27" w:name="_GoBack"/>
          <w:bookmarkEnd w:id="27"/>
          <w:r>
            <w:rPr>
              <w:b/>
              <w:bCs/>
            </w:rPr>
            <w:lastRenderedPageBreak/>
            <w:t>ЗАКЛЮЧЕНИЕ</w:t>
          </w:r>
        </w:p>
        <w:p w:rsidR="008E239A" w:rsidRDefault="008E239A">
          <w:pPr>
            <w:ind w:firstLine="709"/>
            <w:jc w:val="both"/>
          </w:pPr>
        </w:p>
        <w:p w:rsidR="008E239A" w:rsidRDefault="00D61E62">
          <w:pPr>
            <w:suppressAutoHyphens/>
            <w:ind w:firstLine="709"/>
            <w:jc w:val="both"/>
          </w:pPr>
          <w:r>
            <w:t xml:space="preserve">Результаты мониторинга эффективности деятельности органов местного самоуправления муниципальных районов (муниципальных </w:t>
          </w:r>
          <w:r>
            <w:rPr>
              <w:color w:val="000000"/>
            </w:rPr>
            <w:t>округов</w:t>
          </w:r>
          <w:r>
            <w:t xml:space="preserve">, городских округов) Брянской области за 2023 год подтвердили значительную </w:t>
          </w:r>
          <w:r>
            <w:t>дифференциацию муниципальных образований по уровню социально-экономического развития.</w:t>
          </w:r>
        </w:p>
        <w:p w:rsidR="008E239A" w:rsidRDefault="00D61E62">
          <w:pPr>
            <w:suppressAutoHyphens/>
            <w:ind w:firstLine="709"/>
            <w:jc w:val="both"/>
          </w:pPr>
          <w:r>
            <w:t>По итогам комплексной оценки, проведенной в соответствии с Методикой мониторинга эффективности деятельности органов местного самоуправления муниципальных, городских округ</w:t>
          </w:r>
          <w:r>
            <w:t>ов и муниципальных районов, утвержденной постановлением Правительства Российской Федерации от 17 декабря 2012 года          № 1317 «О мерах по реализации Указа Президента Российской Федерации от 28 апреля 2008 года №607 «Об оценке эффективности деятельност</w:t>
          </w:r>
          <w:r>
            <w:t>и органов местного самоуправления муниципальных,  городских округов и муниципальных районов», подпунктом «и» пункта 2 Указа Президента Российской Федерации от 7 мая 2012 года № 601 «Об основных направлениях совершенствования системы государственного управл</w:t>
          </w:r>
          <w:r>
            <w:t xml:space="preserve">ения», наибольшие суммарные оценки </w:t>
          </w:r>
          <w:r>
            <w:rPr>
              <w:color w:val="000000"/>
            </w:rPr>
            <w:t>сложились</w:t>
          </w:r>
          <w:r>
            <w:t xml:space="preserve"> в следующих муниципальных образованиях:</w:t>
          </w:r>
        </w:p>
        <w:p w:rsidR="008E239A" w:rsidRDefault="00D61E62">
          <w:pPr>
            <w:pStyle w:val="a1"/>
            <w:spacing w:after="0"/>
            <w:ind w:firstLine="709"/>
            <w:jc w:val="both"/>
          </w:pPr>
          <w:r>
            <w:rPr>
              <w:sz w:val="28"/>
              <w:szCs w:val="28"/>
            </w:rPr>
            <w:t>городские округа:</w:t>
          </w:r>
        </w:p>
        <w:p w:rsidR="008E239A" w:rsidRDefault="00D61E62">
          <w:pPr>
            <w:pStyle w:val="a1"/>
            <w:spacing w:after="0"/>
          </w:pPr>
          <w:r>
            <w:tab/>
          </w:r>
          <w:r>
            <w:rPr>
              <w:sz w:val="28"/>
              <w:szCs w:val="28"/>
            </w:rPr>
            <w:t xml:space="preserve">город Брянск </w:t>
          </w:r>
          <w:r>
            <w:rPr>
              <w:sz w:val="28"/>
              <w:szCs w:val="28"/>
            </w:rPr>
            <w:t>(К (комплексная оценка) = 0,</w:t>
          </w:r>
          <w:r>
            <w:rPr>
              <w:color w:val="000000"/>
              <w:sz w:val="28"/>
              <w:szCs w:val="28"/>
            </w:rPr>
            <w:t>56018</w:t>
          </w:r>
          <w:r>
            <w:rPr>
              <w:sz w:val="28"/>
              <w:szCs w:val="28"/>
            </w:rPr>
            <w:t>)</w:t>
          </w:r>
          <w:r>
            <w:rPr>
              <w:sz w:val="28"/>
              <w:szCs w:val="28"/>
            </w:rPr>
            <w:t>;</w:t>
          </w:r>
          <w:r>
            <w:rPr>
              <w:sz w:val="28"/>
              <w:szCs w:val="28"/>
            </w:rPr>
            <w:br/>
          </w:r>
          <w:r>
            <w:tab/>
          </w:r>
          <w:r>
            <w:rPr>
              <w:sz w:val="28"/>
              <w:szCs w:val="28"/>
            </w:rPr>
            <w:t>муниципальные районы:</w:t>
          </w:r>
        </w:p>
        <w:p w:rsidR="008E239A" w:rsidRDefault="00D61E62">
          <w:pPr>
            <w:pStyle w:val="a1"/>
            <w:spacing w:after="0"/>
          </w:pPr>
          <w:r>
            <w:rPr>
              <w:sz w:val="28"/>
              <w:szCs w:val="28"/>
            </w:rPr>
            <w:tab/>
          </w:r>
          <w:r>
            <w:rPr>
              <w:color w:val="000000"/>
              <w:sz w:val="28"/>
              <w:szCs w:val="28"/>
            </w:rPr>
            <w:t>Брянский муниципальный район</w:t>
          </w:r>
          <w:r>
            <w:rPr>
              <w:sz w:val="28"/>
              <w:szCs w:val="28"/>
            </w:rPr>
            <w:t xml:space="preserve"> (К (комплексная оценка) = </w:t>
          </w:r>
          <w:r>
            <w:rPr>
              <w:color w:val="000000"/>
              <w:sz w:val="28"/>
              <w:szCs w:val="28"/>
            </w:rPr>
            <w:t>0,65781</w:t>
          </w:r>
          <w:r>
            <w:rPr>
              <w:sz w:val="28"/>
              <w:szCs w:val="28"/>
            </w:rPr>
            <w:t>)</w:t>
          </w:r>
        </w:p>
        <w:p w:rsidR="008E239A" w:rsidRDefault="008E239A">
          <w:pPr>
            <w:ind w:firstLine="709"/>
            <w:jc w:val="both"/>
          </w:pPr>
        </w:p>
        <w:p w:rsidR="008E239A" w:rsidRDefault="008E239A">
          <w:pPr>
            <w:ind w:firstLine="709"/>
            <w:jc w:val="both"/>
          </w:pPr>
        </w:p>
        <w:p w:rsidR="008E239A" w:rsidRDefault="008E239A">
          <w:pPr>
            <w:ind w:firstLine="709"/>
            <w:jc w:val="both"/>
          </w:pPr>
        </w:p>
        <w:p w:rsidR="008E239A" w:rsidRDefault="008E239A">
          <w:pPr>
            <w:ind w:firstLine="709"/>
            <w:jc w:val="both"/>
          </w:pPr>
        </w:p>
        <w:p w:rsidR="008E239A" w:rsidRDefault="008E239A">
          <w:pPr>
            <w:ind w:firstLine="709"/>
            <w:jc w:val="both"/>
          </w:pPr>
        </w:p>
        <w:p w:rsidR="008E239A" w:rsidRDefault="008E239A">
          <w:pPr>
            <w:ind w:firstLine="709"/>
            <w:jc w:val="both"/>
          </w:pPr>
        </w:p>
        <w:p w:rsidR="008E239A" w:rsidRDefault="008E239A">
          <w:pPr>
            <w:ind w:firstLine="709"/>
            <w:jc w:val="both"/>
          </w:pPr>
        </w:p>
        <w:p w:rsidR="008E239A" w:rsidRDefault="00D61E62">
          <w:pPr>
            <w:jc w:val="right"/>
          </w:pPr>
          <w:r>
            <w:t>Приложен</w:t>
          </w:r>
          <w:r>
            <w:t>ие 1</w:t>
          </w:r>
        </w:p>
        <w:p w:rsidR="008E239A" w:rsidRDefault="008E239A">
          <w:pPr>
            <w:jc w:val="right"/>
            <w:rPr>
              <w:sz w:val="16"/>
              <w:szCs w:val="16"/>
            </w:rPr>
          </w:pPr>
        </w:p>
        <w:p w:rsidR="008E239A" w:rsidRDefault="00D61E62">
          <w:pPr>
            <w:ind w:firstLine="709"/>
            <w:jc w:val="center"/>
          </w:pPr>
          <w:r>
            <w:rPr>
              <w:b/>
              <w:bCs/>
            </w:rPr>
            <w:t xml:space="preserve">Общая информация о городских округах и муниципальных районах Брянской области </w:t>
          </w:r>
        </w:p>
        <w:p w:rsidR="008E239A" w:rsidRDefault="008E239A">
          <w:pPr>
            <w:ind w:firstLine="709"/>
            <w:jc w:val="center"/>
          </w:pPr>
        </w:p>
        <w:p w:rsidR="008E239A" w:rsidRDefault="00D61E62">
          <w:pPr>
            <w:ind w:firstLine="709"/>
            <w:jc w:val="center"/>
          </w:pPr>
        </w:p>
      </w:sdtContent>
    </w:sdt>
    <w:tbl>
      <w:tblPr>
        <w:tblW w:w="10485" w:type="dxa"/>
        <w:tblLayout w:type="fixed"/>
        <w:tblLook w:val="00A0" w:firstRow="1" w:lastRow="0" w:firstColumn="1" w:lastColumn="0" w:noHBand="0" w:noVBand="0"/>
      </w:tblPr>
      <w:tblGrid>
        <w:gridCol w:w="569"/>
        <w:gridCol w:w="1086"/>
        <w:gridCol w:w="1974"/>
        <w:gridCol w:w="1636"/>
        <w:gridCol w:w="2340"/>
        <w:gridCol w:w="2880"/>
      </w:tblGrid>
      <w:tr w:rsidR="008E239A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39A" w:rsidRDefault="008E239A">
            <w:pPr>
              <w:widowControl w:val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39A" w:rsidRDefault="00D61E62">
            <w:pPr>
              <w:widowControl w:val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Наименование городского округа / муниципального ра</w:t>
            </w:r>
            <w:r>
              <w:rPr>
                <w:b/>
                <w:sz w:val="20"/>
                <w:szCs w:val="20"/>
              </w:rPr>
              <w:t>й</w:t>
            </w:r>
            <w:r>
              <w:rPr>
                <w:b/>
                <w:sz w:val="20"/>
                <w:szCs w:val="20"/>
              </w:rPr>
              <w:t>она</w:t>
            </w:r>
          </w:p>
          <w:p w:rsidR="008E239A" w:rsidRDefault="008E239A">
            <w:pPr>
              <w:widowControl w:val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Среднегодовая численность населения</w:t>
            </w:r>
          </w:p>
          <w:p w:rsidR="008E239A" w:rsidRDefault="00D61E62">
            <w:pPr>
              <w:widowControl w:val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за 2023 год, чел.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uppressAutoHyphens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Административное значение/Административный центр </w:t>
            </w:r>
            <w:r>
              <w:rPr>
                <w:b/>
                <w:sz w:val="20"/>
                <w:szCs w:val="20"/>
              </w:rPr>
              <w:t>муниципального района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uppressAutoHyphens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Адрес официального сайта муниципального образования</w:t>
            </w:r>
          </w:p>
        </w:tc>
      </w:tr>
      <w:tr w:rsidR="008E239A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480695" cy="628650"/>
                  <wp:effectExtent l="0" t="0" r="0" b="0"/>
                  <wp:docPr id="32" name="Изображение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Изображение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0695" cy="628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Городской округ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Брянск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390531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г. Брянск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b/>
                <w:bCs/>
                <w:sz w:val="20"/>
                <w:szCs w:val="20"/>
                <w:lang w:val="en-US"/>
              </w:rPr>
              <w:t>https://www.bga32.ru/</w:t>
            </w:r>
          </w:p>
        </w:tc>
      </w:tr>
      <w:tr w:rsidR="008E239A">
        <w:trPr>
          <w:trHeight w:val="1240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53085" cy="698500"/>
                  <wp:effectExtent l="0" t="0" r="0" b="0"/>
                  <wp:docPr id="33" name="Изображение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Изображение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3085" cy="698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Городской округ Клинцы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69226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г. Клинцы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hyperlink r:id="rId13">
              <w:r>
                <w:rPr>
                  <w:b/>
                  <w:bCs/>
                  <w:sz w:val="20"/>
                  <w:szCs w:val="20"/>
                  <w:lang w:val="en-US"/>
                </w:rPr>
                <w:t>http://www.klinci.ru/</w:t>
              </w:r>
            </w:hyperlink>
          </w:p>
          <w:p w:rsidR="008E239A" w:rsidRDefault="008E239A">
            <w:pPr>
              <w:widowControl w:val="0"/>
              <w:jc w:val="center"/>
              <w:rPr>
                <w:sz w:val="20"/>
                <w:szCs w:val="20"/>
              </w:rPr>
            </w:pPr>
          </w:p>
        </w:tc>
      </w:tr>
      <w:tr w:rsidR="008E239A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3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653FA747">
                      <wp:extent cx="480695" cy="588645"/>
                      <wp:effectExtent l="95250" t="95250" r="101600" b="88900"/>
                      <wp:docPr id="34" name="Рисунок 7_0" descr="al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Рисунок 7_0" descr="alt"/>
                              <pic:cNvPicPr/>
                            </pic:nvPicPr>
                            <pic:blipFill>
                              <a:blip r:embed="rId14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id="shapetype_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shape_0" ID="Рисунок 7_0" stroked="f" style="position:absolute;margin-left:0pt;margin-top:-60.85pt;width:37.75pt;height:46.25pt;mso-wrap-style:none;v-text-anchor:middle;mso-position-vertical:top" wp14:anchorId="653FA747" type="shapetype_75">
                      <v:imagedata r:id="rId15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Новозыбковский городской округ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48703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г. Новозыбков</w:t>
            </w:r>
          </w:p>
          <w:p w:rsidR="008E239A" w:rsidRDefault="008E239A">
            <w:pPr>
              <w:widowControl w:val="0"/>
              <w:jc w:val="center"/>
              <w:rPr>
                <w:sz w:val="24"/>
                <w:szCs w:val="24"/>
              </w:rPr>
            </w:pP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b/>
                <w:bCs/>
                <w:sz w:val="20"/>
                <w:szCs w:val="20"/>
                <w:lang w:val="en-US"/>
              </w:rPr>
              <w:t>http://www.zibkoe.ru/</w:t>
            </w:r>
          </w:p>
          <w:p w:rsidR="008E239A" w:rsidRDefault="008E239A">
            <w:pPr>
              <w:widowControl w:val="0"/>
              <w:jc w:val="center"/>
            </w:pPr>
          </w:p>
        </w:tc>
      </w:tr>
      <w:tr w:rsidR="008E239A">
        <w:trPr>
          <w:trHeight w:val="965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48EBE2A3">
                      <wp:extent cx="480695" cy="588645"/>
                      <wp:effectExtent l="95250" t="95250" r="101600" b="88900"/>
                      <wp:docPr id="35" name="Рисунок 9_0" descr="http://www.hrono.ru/heraldicum/russia/subjects/towns/images/selco.gif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Рисунок 9_0" descr="http://www.hrono.ru/heraldicum/russia/subjects/towns/images/selco.gif"/>
                              <pic:cNvPicPr/>
                            </pic:nvPicPr>
                            <pic:blipFill>
                              <a:blip r:embed="rId16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9_0" stroked="f" style="position:absolute;margin-left:0pt;margin-top:-60.85pt;width:37.75pt;height:46.25pt;mso-wrap-style:none;v-text-anchor:middle;mso-position-vertical:top" wp14:anchorId="48EBE2A3" type="shapetype_75">
                      <v:imagedata r:id="rId17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Городской округ Сельцо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15504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г. Сельцо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hyperlink r:id="rId18">
              <w:r>
                <w:rPr>
                  <w:b/>
                  <w:bCs/>
                  <w:sz w:val="20"/>
                  <w:szCs w:val="20"/>
                  <w:lang w:val="en-US"/>
                </w:rPr>
                <w:t>http://www.admsel.ru/</w:t>
              </w:r>
            </w:hyperlink>
          </w:p>
        </w:tc>
      </w:tr>
      <w:tr w:rsidR="008E239A">
        <w:trPr>
          <w:trHeight w:val="1191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452755" cy="630555"/>
                  <wp:effectExtent l="0" t="0" r="0" b="0"/>
                  <wp:docPr id="36" name="Изображение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Изображение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2755" cy="630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Городской округ Фокино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12174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г. Фокино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b/>
                <w:bCs/>
                <w:sz w:val="20"/>
                <w:szCs w:val="20"/>
                <w:lang w:val="en-US"/>
              </w:rPr>
              <w:t>http://admfokino.ru/</w:t>
            </w:r>
          </w:p>
        </w:tc>
      </w:tr>
      <w:tr w:rsidR="008E239A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02190251">
                      <wp:extent cx="480695" cy="588645"/>
                      <wp:effectExtent l="95250" t="95250" r="101600" b="88900"/>
                      <wp:docPr id="37" name="Рисунок 8_0" descr="al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" name="Рисунок 8_0" descr="alt"/>
                              <pic:cNvPicPr/>
                            </pic:nvPicPr>
                            <pic:blipFill>
                              <a:blip r:embed="rId20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8_0" stroked="f" style="position:absolute;margin-left:0pt;margin-top:-60.85pt;width:37.75pt;height:46.25pt;mso-wrap-style:none;v-text-anchor:middle;mso-position-vertical:top" wp14:anchorId="02190251" type="shapetype_75">
                      <v:imagedata r:id="rId21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Стародубский муниципальный округ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34512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г. Стародуб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http://adminstarrayon.ru</w:t>
            </w:r>
          </w:p>
        </w:tc>
      </w:tr>
      <w:tr w:rsidR="008E239A">
        <w:trPr>
          <w:trHeight w:val="84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09AC053E">
                      <wp:extent cx="480695" cy="588645"/>
                      <wp:effectExtent l="95250" t="95250" r="101600" b="88900"/>
                      <wp:docPr id="38" name="Рисунок 14_0" descr="al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" name="Рисунок 14_0" descr="alt"/>
                              <pic:cNvPicPr/>
                            </pic:nvPicPr>
                            <pic:blipFill>
                              <a:blip r:embed="rId22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4_0" stroked="f" style="position:absolute;margin-left:0pt;margin-top:-60.85pt;width:37.75pt;height:46.25pt;mso-wrap-style:none;v-text-anchor:middle;mso-position-vertical:top" wp14:anchorId="09AC053E" type="shapetype_75">
                      <v:imagedata r:id="rId23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Брасовский  м</w:t>
            </w:r>
            <w:r>
              <w:rPr>
                <w:sz w:val="24"/>
                <w:szCs w:val="24"/>
              </w:rPr>
              <w:t>у</w:t>
            </w:r>
            <w:r>
              <w:rPr>
                <w:sz w:val="24"/>
                <w:szCs w:val="24"/>
              </w:rPr>
              <w:t>ниципальный 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17392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п. Локоть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hyperlink r:id="rId24">
              <w:r>
                <w:rPr>
                  <w:b/>
                  <w:bCs/>
                  <w:sz w:val="20"/>
                  <w:szCs w:val="20"/>
                  <w:lang w:val="en-US"/>
                </w:rPr>
                <w:t>http</w:t>
              </w:r>
              <w:r>
                <w:rPr>
                  <w:b/>
                  <w:bCs/>
                  <w:sz w:val="20"/>
                  <w:szCs w:val="20"/>
                </w:rPr>
                <w:t>://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www</w:t>
              </w:r>
              <w:r>
                <w:rPr>
                  <w:b/>
                  <w:bCs/>
                  <w:sz w:val="20"/>
                  <w:szCs w:val="20"/>
                </w:rPr>
                <w:t>.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brasadmin</w:t>
              </w:r>
              <w:r>
                <w:rPr>
                  <w:b/>
                  <w:bCs/>
                  <w:sz w:val="20"/>
                  <w:szCs w:val="20"/>
                </w:rPr>
                <w:t>.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org</w:t>
              </w:r>
              <w:r>
                <w:rPr>
                  <w:b/>
                  <w:bCs/>
                  <w:sz w:val="20"/>
                  <w:szCs w:val="20"/>
                </w:rPr>
                <w:t>/</w:t>
              </w:r>
            </w:hyperlink>
          </w:p>
        </w:tc>
      </w:tr>
      <w:tr w:rsidR="008E239A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083CE7A6">
                      <wp:extent cx="480695" cy="588645"/>
                      <wp:effectExtent l="95250" t="95250" r="101600" b="88900"/>
                      <wp:docPr id="39" name="Рисунок 15_0" descr="al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" name="Рисунок 15_0" descr="alt"/>
                              <pic:cNvPicPr/>
                            </pic:nvPicPr>
                            <pic:blipFill>
                              <a:blip r:embed="rId25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5_0" stroked="f" style="position:absolute;margin-left:0pt;margin-top:-60.85pt;width:37.75pt;height:46.25pt;mso-wrap-style:none;v-text-anchor:middle;mso-position-vertical:top" wp14:anchorId="083CE7A6" type="shapetype_75">
                      <v:imagedata r:id="rId26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Брянский мун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>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bCs/>
                <w:color w:val="000000"/>
                <w:sz w:val="24"/>
                <w:szCs w:val="24"/>
                <w:lang w:eastAsia="en-US"/>
              </w:rPr>
              <w:t>71316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с. Глинищево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https://adminbr.ru/</w:t>
            </w:r>
          </w:p>
        </w:tc>
      </w:tr>
      <w:tr w:rsidR="008E239A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55A311EF">
                      <wp:extent cx="480695" cy="588645"/>
                      <wp:effectExtent l="95250" t="95250" r="101600" b="88900"/>
                      <wp:docPr id="40" name="Рисунок 16_0" descr="al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5" name="Рисунок 16_0" descr="alt"/>
                              <pic:cNvPicPr/>
                            </pic:nvPicPr>
                            <pic:blipFill>
                              <a:blip r:embed="rId27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6_0" stroked="f" style="position:absolute;margin-left:0pt;margin-top:-60.85pt;width:37.75pt;height:46.25pt;mso-wrap-style:none;v-text-anchor:middle;mso-position-vertical:top" wp14:anchorId="55A311EF" type="shapetype_75">
                      <v:imagedata r:id="rId28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Выгоничский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16954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 п. Выгоничи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b/>
                <w:bCs/>
                <w:sz w:val="20"/>
                <w:szCs w:val="20"/>
                <w:lang w:val="en-US"/>
              </w:rPr>
              <w:t>http://adminwr.ru/</w:t>
            </w:r>
          </w:p>
        </w:tc>
      </w:tr>
      <w:tr w:rsidR="008E239A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08EC9529">
                      <wp:extent cx="480695" cy="588645"/>
                      <wp:effectExtent l="95250" t="95250" r="101600" b="88900"/>
                      <wp:docPr id="41" name="Рисунок 13_0" descr="al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6" name="Рисунок 13_0" descr="alt"/>
                              <pic:cNvPicPr/>
                            </pic:nvPicPr>
                            <pic:blipFill>
                              <a:blip r:embed="rId29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3_0" stroked="f" style="position:absolute;margin-left:0pt;margin-top:-60.85pt;width:37.75pt;height:46.25pt;mso-wrap-style:none;v-text-anchor:middle;mso-position-vertical:top" wp14:anchorId="08EC9529" type="shapetype_75">
                      <v:imagedata r:id="rId30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Гордеевский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9725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с. Гордеевка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hyperlink r:id="rId31">
              <w:r>
                <w:rPr>
                  <w:b/>
                  <w:bCs/>
                  <w:sz w:val="20"/>
                  <w:szCs w:val="20"/>
                  <w:lang w:val="en-US"/>
                </w:rPr>
                <w:t>http</w:t>
              </w:r>
              <w:r>
                <w:rPr>
                  <w:b/>
                  <w:bCs/>
                  <w:sz w:val="20"/>
                  <w:szCs w:val="20"/>
                </w:rPr>
                <w:t>://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www</w:t>
              </w:r>
              <w:r>
                <w:rPr>
                  <w:b/>
                  <w:bCs/>
                  <w:sz w:val="20"/>
                  <w:szCs w:val="20"/>
                </w:rPr>
                <w:t>.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admgordeevka</w:t>
              </w:r>
              <w:r>
                <w:rPr>
                  <w:b/>
                  <w:bCs/>
                  <w:sz w:val="20"/>
                  <w:szCs w:val="20"/>
                </w:rPr>
                <w:t>.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ru</w:t>
              </w:r>
              <w:r>
                <w:rPr>
                  <w:b/>
                  <w:bCs/>
                  <w:sz w:val="20"/>
                  <w:szCs w:val="20"/>
                </w:rPr>
                <w:t>/</w:t>
              </w:r>
            </w:hyperlink>
          </w:p>
        </w:tc>
      </w:tr>
      <w:tr w:rsidR="008E239A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14217F0C">
                      <wp:extent cx="480695" cy="588645"/>
                      <wp:effectExtent l="95250" t="95250" r="101600" b="88900"/>
                      <wp:docPr id="42" name="Рисунок 17_0" descr="al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7" name="Рисунок 17_0" descr="alt"/>
                              <pic:cNvPicPr/>
                            </pic:nvPicPr>
                            <pic:blipFill>
                              <a:blip r:embed="rId32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7_0" stroked="f" style="position:absolute;margin-left:0pt;margin-top:-60.85pt;width:37.75pt;height:46.25pt;mso-wrap-style:none;v-text-anchor:middle;mso-position-vertical:top" wp14:anchorId="14217F0C" type="shapetype_75">
                      <v:imagedata r:id="rId33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Дубровский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14516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п. Дубровка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hyperlink r:id="rId34">
              <w:r>
                <w:rPr>
                  <w:b/>
                  <w:bCs/>
                  <w:sz w:val="20"/>
                  <w:szCs w:val="20"/>
                  <w:lang w:val="en-US"/>
                </w:rPr>
                <w:t>http</w:t>
              </w:r>
              <w:r>
                <w:rPr>
                  <w:b/>
                  <w:bCs/>
                  <w:sz w:val="20"/>
                  <w:szCs w:val="20"/>
                </w:rPr>
                <w:t>://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www</w:t>
              </w:r>
              <w:r>
                <w:rPr>
                  <w:b/>
                  <w:bCs/>
                  <w:sz w:val="20"/>
                  <w:szCs w:val="20"/>
                </w:rPr>
                <w:t>.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admdubrovka</w:t>
              </w:r>
              <w:r>
                <w:rPr>
                  <w:b/>
                  <w:bCs/>
                  <w:sz w:val="20"/>
                  <w:szCs w:val="20"/>
                </w:rPr>
                <w:t>.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ru</w:t>
              </w:r>
              <w:r>
                <w:rPr>
                  <w:b/>
                  <w:bCs/>
                  <w:sz w:val="20"/>
                  <w:szCs w:val="20"/>
                </w:rPr>
                <w:t>/</w:t>
              </w:r>
            </w:hyperlink>
          </w:p>
        </w:tc>
      </w:tr>
      <w:tr w:rsidR="008E239A">
        <w:trPr>
          <w:trHeight w:val="1110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53085" cy="664210"/>
                  <wp:effectExtent l="0" t="0" r="0" b="0"/>
                  <wp:docPr id="43" name="Изображение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Изображение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3085" cy="664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Дятьковский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53425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г. Дятьково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hyperlink r:id="rId36">
              <w:r>
                <w:rPr>
                  <w:b/>
                  <w:bCs/>
                  <w:sz w:val="20"/>
                  <w:szCs w:val="20"/>
                  <w:lang w:val="en-US"/>
                </w:rPr>
                <w:t>http://admindtk.ru/</w:t>
              </w:r>
            </w:hyperlink>
          </w:p>
        </w:tc>
      </w:tr>
      <w:tr w:rsidR="008E239A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0238F2F7">
                      <wp:extent cx="480695" cy="588645"/>
                      <wp:effectExtent l="95250" t="95250" r="101600" b="88900"/>
                      <wp:docPr id="44" name="Рисунок 19_0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8" name="Рисунок 19_0"/>
                              <pic:cNvPicPr/>
                            </pic:nvPicPr>
                            <pic:blipFill>
                              <a:blip r:embed="rId37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9_0" stroked="f" style="position:absolute;margin-left:0pt;margin-top:-60.85pt;width:37.75pt;height:46.25pt;mso-wrap-style:none;v-text-anchor:middle;mso-position-vertical:top" wp14:anchorId="0238F2F7" type="shapetype_75">
                      <v:imagedata r:id="rId38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Жирятинский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6401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с. Жирятино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hyperlink r:id="rId39">
              <w:r>
                <w:rPr>
                  <w:b/>
                  <w:bCs/>
                  <w:sz w:val="20"/>
                  <w:szCs w:val="20"/>
                  <w:lang w:val="en-US"/>
                </w:rPr>
                <w:t>http://www.juratino.ru/</w:t>
              </w:r>
            </w:hyperlink>
          </w:p>
        </w:tc>
      </w:tr>
      <w:tr w:rsidR="008E239A">
        <w:trPr>
          <w:trHeight w:val="1231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AD6A4D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0" distR="0" simplePos="0" relativeHeight="251659264" behindDoc="0" locked="0" layoutInCell="1" allowOverlap="1" wp14:anchorId="574DCD66" wp14:editId="5ECDA76E">
                  <wp:simplePos x="0" y="0"/>
                  <wp:positionH relativeFrom="column">
                    <wp:posOffset>107950</wp:posOffset>
                  </wp:positionH>
                  <wp:positionV relativeFrom="paragraph">
                    <wp:posOffset>-388620</wp:posOffset>
                  </wp:positionV>
                  <wp:extent cx="467995" cy="561340"/>
                  <wp:effectExtent l="0" t="0" r="8255" b="0"/>
                  <wp:wrapSquare wrapText="largest"/>
                  <wp:docPr id="45" name="Изображение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Изображение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995" cy="561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Жуковский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округ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33309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г. Жуковка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b/>
                <w:bCs/>
                <w:sz w:val="20"/>
                <w:szCs w:val="20"/>
              </w:rPr>
              <w:t>http://www.zh32.ru/</w:t>
            </w:r>
          </w:p>
        </w:tc>
      </w:tr>
      <w:tr w:rsidR="008E239A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15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02838794">
                      <wp:extent cx="480695" cy="588645"/>
                      <wp:effectExtent l="95250" t="95250" r="101600" b="88900"/>
                      <wp:docPr id="46" name="Рисунок 87_0" descr="al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9" name="Рисунок 87_0" descr="alt"/>
                              <pic:cNvPicPr/>
                            </pic:nvPicPr>
                            <pic:blipFill>
                              <a:blip r:embed="rId41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87_0" stroked="f" style="position:absolute;margin-left:0pt;margin-top:-60.85pt;width:37.75pt;height:46.25pt;mso-wrap-style:none;v-text-anchor:middle;mso-position-vertical:top" wp14:anchorId="02838794" type="shapetype_75">
                      <v:imagedata r:id="rId42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Злынковский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11477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г. Злынка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b/>
                <w:bCs/>
                <w:sz w:val="20"/>
                <w:szCs w:val="20"/>
              </w:rPr>
              <w:t>http://admzlynka.ru/</w:t>
            </w:r>
          </w:p>
        </w:tc>
      </w:tr>
      <w:tr w:rsidR="008E239A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6EB9537C">
                      <wp:extent cx="480695" cy="588645"/>
                      <wp:effectExtent l="95250" t="95250" r="101600" b="88900"/>
                      <wp:docPr id="47" name="Рисунок 88_0" descr="al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0" name="Рисунок 88_0" descr="alt"/>
                              <pic:cNvPicPr/>
                            </pic:nvPicPr>
                            <pic:blipFill>
                              <a:blip r:embed="rId43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88_0" stroked="f" style="position:absolute;margin-left:0pt;margin-top:-60.85pt;width:37.75pt;height:46.25pt;mso-wrap-style:none;v-text-anchor:middle;mso-position-vertical:top" wp14:anchorId="6EB9537C" type="shapetype_75">
                      <v:imagedata r:id="rId44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Карачевский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31099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г. Карачев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hyperlink r:id="rId45">
              <w:r>
                <w:rPr>
                  <w:b/>
                  <w:bCs/>
                  <w:sz w:val="20"/>
                  <w:szCs w:val="20"/>
                  <w:lang w:val="en-US"/>
                </w:rPr>
                <w:t>http://karadmin.ru/</w:t>
              </w:r>
            </w:hyperlink>
          </w:p>
        </w:tc>
      </w:tr>
      <w:tr w:rsidR="008E239A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502C4A63">
                      <wp:extent cx="480695" cy="588645"/>
                      <wp:effectExtent l="95250" t="95250" r="101600" b="88900"/>
                      <wp:docPr id="48" name="Рисунок 89_0" descr="al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1" name="Рисунок 89_0" descr="alt"/>
                              <pic:cNvPicPr/>
                            </pic:nvPicPr>
                            <pic:blipFill>
                              <a:blip r:embed="rId46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89_0" stroked="f" style="position:absolute;margin-left:0pt;margin-top:-60.85pt;width:37.75pt;height:46.25pt;mso-wrap-style:none;v-text-anchor:middle;mso-position-vertical:top" wp14:anchorId="502C4A63" type="shapetype_75">
                      <v:imagedata r:id="rId47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Клетнянский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16550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п. Клетня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b/>
                <w:bCs/>
                <w:sz w:val="20"/>
                <w:szCs w:val="20"/>
                <w:lang w:val="en-US"/>
              </w:rPr>
              <w:t>https://adm-kletnya.ru/</w:t>
            </w:r>
          </w:p>
        </w:tc>
      </w:tr>
      <w:tr w:rsidR="008E239A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6C79B38C">
                      <wp:extent cx="480695" cy="588645"/>
                      <wp:effectExtent l="95250" t="95250" r="101600" b="88900"/>
                      <wp:docPr id="49" name="Рисунок 90_0" descr="al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2" name="Рисунок 90_0" descr="alt"/>
                              <pic:cNvPicPr/>
                            </pic:nvPicPr>
                            <pic:blipFill>
                              <a:blip r:embed="rId48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90_0" stroked="f" style="position:absolute;margin-left:0pt;margin-top:-60.85pt;width:37.75pt;height:46.25pt;mso-wrap-style:none;v-text-anchor:middle;mso-position-vertical:top" wp14:anchorId="6C79B38C" type="shapetype_75">
                      <v:imagedata r:id="rId49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Климовский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25103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п. Климово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b/>
                <w:bCs/>
                <w:sz w:val="20"/>
                <w:szCs w:val="20"/>
              </w:rPr>
              <w:t>https://kladm.ru/</w:t>
            </w:r>
          </w:p>
        </w:tc>
      </w:tr>
      <w:tr w:rsidR="008E239A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16890" cy="697230"/>
                  <wp:effectExtent l="0" t="0" r="0" b="0"/>
                  <wp:docPr id="50" name="Изображение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Изображение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6890" cy="697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Клинцовский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16766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г. Клинцы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hyperlink r:id="rId51">
              <w:r>
                <w:rPr>
                  <w:b/>
                  <w:bCs/>
                  <w:sz w:val="20"/>
                  <w:szCs w:val="20"/>
                  <w:lang w:val="en-US"/>
                </w:rPr>
                <w:t>http://www.klinrai.ru/</w:t>
              </w:r>
            </w:hyperlink>
          </w:p>
        </w:tc>
      </w:tr>
      <w:tr w:rsidR="008E239A">
        <w:trPr>
          <w:trHeight w:val="1155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53085" cy="690880"/>
                  <wp:effectExtent l="0" t="0" r="0" b="0"/>
                  <wp:docPr id="51" name="Изображение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Изображение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3085" cy="690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Комаричский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15274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</w:pPr>
            <w:r>
              <w:rPr>
                <w:color w:val="000000"/>
                <w:sz w:val="24"/>
                <w:szCs w:val="24"/>
              </w:rPr>
              <w:t>п</w:t>
            </w:r>
            <w:r>
              <w:rPr>
                <w:sz w:val="24"/>
                <w:szCs w:val="24"/>
              </w:rPr>
              <w:t>. Комаричи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hyperlink r:id="rId53">
              <w:r>
                <w:rPr>
                  <w:b/>
                  <w:bCs/>
                  <w:sz w:val="20"/>
                  <w:szCs w:val="20"/>
                  <w:lang w:val="en-US"/>
                </w:rPr>
                <w:t>http://adminkom.ru/</w:t>
              </w:r>
            </w:hyperlink>
          </w:p>
        </w:tc>
      </w:tr>
      <w:tr w:rsidR="008E239A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1B77B863">
                      <wp:extent cx="480695" cy="588645"/>
                      <wp:effectExtent l="95250" t="95250" r="101600" b="88900"/>
                      <wp:docPr id="52" name="Рисунок 15_1" descr="al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3" name="Рисунок 15_1" descr="alt"/>
                              <pic:cNvPicPr/>
                            </pic:nvPicPr>
                            <pic:blipFill>
                              <a:blip r:embed="rId54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5_1" stroked="f" style="position:absolute;margin-left:0pt;margin-top:-60.85pt;width:37.75pt;height:46.25pt;mso-wrap-style:none;v-text-anchor:middle;mso-position-vertical:top" wp14:anchorId="1B77B863" type="shapetype_75">
                      <v:imagedata r:id="rId55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Красногорский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10006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</w:pPr>
            <w:r>
              <w:rPr>
                <w:color w:val="000000"/>
                <w:sz w:val="24"/>
                <w:szCs w:val="24"/>
              </w:rPr>
              <w:t>п</w:t>
            </w:r>
            <w:r>
              <w:rPr>
                <w:sz w:val="24"/>
                <w:szCs w:val="24"/>
              </w:rPr>
              <w:t>. Красная Гора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hyperlink r:id="rId56">
              <w:r>
                <w:rPr>
                  <w:b/>
                  <w:bCs/>
                  <w:sz w:val="20"/>
                  <w:szCs w:val="20"/>
                  <w:lang w:val="en-US"/>
                </w:rPr>
                <w:t>http://www.krgadm.ru/</w:t>
              </w:r>
            </w:hyperlink>
          </w:p>
        </w:tc>
      </w:tr>
      <w:tr w:rsidR="008E239A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46E456DE">
                      <wp:extent cx="480695" cy="588645"/>
                      <wp:effectExtent l="95250" t="95250" r="101600" b="88900"/>
                      <wp:docPr id="53" name="Рисунок 16_1" descr="al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4" name="Рисунок 16_1" descr="alt"/>
                              <pic:cNvPicPr/>
                            </pic:nvPicPr>
                            <pic:blipFill>
                              <a:blip r:embed="rId57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6_1" stroked="f" style="position:absolute;margin-left:0pt;margin-top:-60.85pt;width:37.75pt;height:46.25pt;mso-wrap-style:none;v-text-anchor:middle;mso-position-vertical:top" wp14:anchorId="46E456DE" type="shapetype_75">
                      <v:imagedata r:id="rId58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Мглинский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15492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г. Мглин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hyperlink r:id="rId59">
              <w:r>
                <w:rPr>
                  <w:b/>
                  <w:bCs/>
                  <w:sz w:val="20"/>
                  <w:szCs w:val="20"/>
                  <w:lang w:val="en-US"/>
                </w:rPr>
                <w:t>http://www.mgladm.ru/</w:t>
              </w:r>
            </w:hyperlink>
          </w:p>
        </w:tc>
      </w:tr>
      <w:tr w:rsidR="008E239A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3BCC058E">
                      <wp:extent cx="480695" cy="588645"/>
                      <wp:effectExtent l="95250" t="95250" r="101600" b="88900"/>
                      <wp:docPr id="54" name="Рисунок 17_1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5" name="Рисунок 17_1"/>
                              <pic:cNvPicPr/>
                            </pic:nvPicPr>
                            <pic:blipFill>
                              <a:blip r:embed="rId60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7_1" stroked="f" style="position:absolute;margin-left:0pt;margin-top:-60.85pt;width:37.75pt;height:46.25pt;mso-wrap-style:none;v-text-anchor:middle;mso-position-vertical:top" wp14:anchorId="3BCC058E" type="shapetype_75">
                      <v:imagedata r:id="rId61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Навлинский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26690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п. Навля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hyperlink r:id="rId62">
              <w:r>
                <w:rPr>
                  <w:b/>
                  <w:bCs/>
                  <w:sz w:val="20"/>
                  <w:szCs w:val="20"/>
                  <w:lang w:val="en-US"/>
                </w:rPr>
                <w:t>http</w:t>
              </w:r>
              <w:r>
                <w:rPr>
                  <w:b/>
                  <w:bCs/>
                  <w:sz w:val="20"/>
                  <w:szCs w:val="20"/>
                </w:rPr>
                <w:t>://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admnav</w:t>
              </w:r>
              <w:r>
                <w:rPr>
                  <w:b/>
                  <w:bCs/>
                  <w:sz w:val="20"/>
                  <w:szCs w:val="20"/>
                </w:rPr>
                <w:t>.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ru</w:t>
              </w:r>
              <w:r>
                <w:rPr>
                  <w:b/>
                  <w:bCs/>
                  <w:sz w:val="20"/>
                  <w:szCs w:val="20"/>
                </w:rPr>
                <w:t>/</w:t>
              </w:r>
            </w:hyperlink>
          </w:p>
        </w:tc>
      </w:tr>
      <w:tr w:rsidR="008E239A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30225" cy="670560"/>
                  <wp:effectExtent l="0" t="0" r="0" b="0"/>
                  <wp:docPr id="55" name="Изображение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Изображение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0225" cy="670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Погарский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28602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п. Погар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hyperlink r:id="rId64">
              <w:r>
                <w:rPr>
                  <w:b/>
                  <w:bCs/>
                  <w:sz w:val="20"/>
                  <w:szCs w:val="20"/>
                  <w:lang w:val="en-US"/>
                </w:rPr>
                <w:t>http://www.pogaradm.ru/</w:t>
              </w:r>
            </w:hyperlink>
          </w:p>
        </w:tc>
      </w:tr>
      <w:tr w:rsidR="008E239A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7E0A560B">
                      <wp:extent cx="480695" cy="588645"/>
                      <wp:effectExtent l="95250" t="95250" r="101600" b="88900"/>
                      <wp:docPr id="56" name="Рисунок 14_1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6" name="Рисунок 14_1"/>
                              <pic:cNvPicPr/>
                            </pic:nvPicPr>
                            <pic:blipFill>
                              <a:blip r:embed="rId65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4_1" stroked="f" style="position:absolute;margin-left:0pt;margin-top:-60.85pt;width:37.75pt;height:46.25pt;mso-wrap-style:none;v-text-anchor:middle;mso-position-vertical:top" wp14:anchorId="7E0A560B" type="shapetype_75">
                      <v:imagedata r:id="rId66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Почепский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33643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г. Почеп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hyperlink r:id="rId67">
              <w:r>
                <w:rPr>
                  <w:b/>
                  <w:bCs/>
                  <w:sz w:val="20"/>
                  <w:szCs w:val="20"/>
                  <w:lang w:val="en-US"/>
                </w:rPr>
                <w:t>http://www.admpochep.ru/</w:t>
              </w:r>
            </w:hyperlink>
          </w:p>
        </w:tc>
      </w:tr>
      <w:tr w:rsidR="008E239A">
        <w:trPr>
          <w:trHeight w:val="36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5FCB517F">
                      <wp:extent cx="480695" cy="588645"/>
                      <wp:effectExtent l="95250" t="95250" r="101600" b="88900"/>
                      <wp:docPr id="57" name="Рисунок 13_1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7" name="Рисунок 13_1"/>
                              <pic:cNvPicPr/>
                            </pic:nvPicPr>
                            <pic:blipFill>
                              <a:blip r:embed="rId68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3_1" stroked="f" style="position:absolute;margin-left:0pt;margin-top:-60.85pt;width:37.75pt;height:46.25pt;mso-wrap-style:none;v-text-anchor:middle;mso-position-vertical:top" wp14:anchorId="5FCB517F" type="shapetype_75">
                      <v:imagedata r:id="rId69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Рогнединский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6020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п. Рогнедино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hyperlink r:id="rId70">
              <w:r>
                <w:rPr>
                  <w:b/>
                  <w:bCs/>
                  <w:sz w:val="20"/>
                  <w:szCs w:val="20"/>
                  <w:lang w:val="en-US"/>
                </w:rPr>
                <w:t>http</w:t>
              </w:r>
              <w:r>
                <w:rPr>
                  <w:b/>
                  <w:bCs/>
                  <w:sz w:val="20"/>
                  <w:szCs w:val="20"/>
                </w:rPr>
                <w:t>://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www</w:t>
              </w:r>
              <w:r>
                <w:rPr>
                  <w:b/>
                  <w:bCs/>
                  <w:sz w:val="20"/>
                  <w:szCs w:val="20"/>
                </w:rPr>
                <w:t>.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rognedino</w:t>
              </w:r>
              <w:r>
                <w:rPr>
                  <w:b/>
                  <w:bCs/>
                  <w:sz w:val="20"/>
                  <w:szCs w:val="20"/>
                </w:rPr>
                <w:t>.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ru</w:t>
              </w:r>
              <w:r>
                <w:rPr>
                  <w:b/>
                  <w:bCs/>
                  <w:sz w:val="20"/>
                  <w:szCs w:val="20"/>
                </w:rPr>
                <w:t>/</w:t>
              </w:r>
            </w:hyperlink>
          </w:p>
        </w:tc>
      </w:tr>
      <w:tr w:rsidR="008E239A">
        <w:trPr>
          <w:trHeight w:val="36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27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74543F31">
                      <wp:extent cx="480695" cy="588645"/>
                      <wp:effectExtent l="95250" t="95250" r="101600" b="88900"/>
                      <wp:docPr id="58" name="Рисунок 20_0" descr="al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8" name="Рисунок 20_0" descr="alt"/>
                              <pic:cNvPicPr/>
                            </pic:nvPicPr>
                            <pic:blipFill>
                              <a:blip r:embed="rId71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20_0" stroked="f" style="position:absolute;margin-left:0pt;margin-top:-60.85pt;width:37.75pt;height:46.25pt;mso-wrap-style:none;v-text-anchor:middle;mso-position-vertical:top" wp14:anchorId="74543F31" type="shapetype_75">
                      <v:imagedata r:id="rId72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Севский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13697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г. Севск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hyperlink r:id="rId73">
              <w:r>
                <w:rPr>
                  <w:b/>
                  <w:bCs/>
                  <w:sz w:val="20"/>
                  <w:szCs w:val="20"/>
                  <w:lang w:val="en-US"/>
                </w:rPr>
                <w:t>http</w:t>
              </w:r>
              <w:r>
                <w:rPr>
                  <w:b/>
                  <w:bCs/>
                  <w:sz w:val="20"/>
                  <w:szCs w:val="20"/>
                </w:rPr>
                <w:t>://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www</w:t>
              </w:r>
              <w:r>
                <w:rPr>
                  <w:b/>
                  <w:bCs/>
                  <w:sz w:val="20"/>
                  <w:szCs w:val="20"/>
                </w:rPr>
                <w:t>.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sevskadm</w:t>
              </w:r>
              <w:r>
                <w:rPr>
                  <w:b/>
                  <w:bCs/>
                  <w:sz w:val="20"/>
                  <w:szCs w:val="20"/>
                </w:rPr>
                <w:t>.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ru</w:t>
              </w:r>
              <w:r>
                <w:rPr>
                  <w:b/>
                  <w:bCs/>
                  <w:sz w:val="20"/>
                  <w:szCs w:val="20"/>
                </w:rPr>
                <w:t>/</w:t>
              </w:r>
            </w:hyperlink>
          </w:p>
        </w:tc>
      </w:tr>
      <w:tr w:rsidR="008E239A">
        <w:trPr>
          <w:trHeight w:val="36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7E5A0E79">
                      <wp:extent cx="480695" cy="588645"/>
                      <wp:effectExtent l="95250" t="95250" r="101600" b="88900"/>
                      <wp:docPr id="59" name="Рисунок 21_0" descr="al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9" name="Рисунок 21_0" descr="alt"/>
                              <pic:cNvPicPr/>
                            </pic:nvPicPr>
                            <pic:blipFill>
                              <a:blip r:embed="rId74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21_0" stroked="f" style="position:absolute;margin-left:0pt;margin-top:-60.85pt;width:37.75pt;height:46.25pt;mso-wrap-style:none;v-text-anchor:middle;mso-position-vertical:top" wp14:anchorId="7E5A0E79" type="shapetype_75">
                      <v:imagedata r:id="rId75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Суземский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14976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</w:pPr>
            <w:r>
              <w:rPr>
                <w:sz w:val="24"/>
                <w:szCs w:val="24"/>
              </w:rPr>
              <w:t>п. Суземка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b/>
                <w:bCs/>
                <w:sz w:val="20"/>
                <w:szCs w:val="20"/>
              </w:rPr>
              <w:t>https://www.adminsuzemka.ru/</w:t>
            </w:r>
          </w:p>
        </w:tc>
      </w:tr>
      <w:tr w:rsidR="008E239A">
        <w:trPr>
          <w:trHeight w:val="36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52016BD8">
                      <wp:extent cx="480695" cy="588645"/>
                      <wp:effectExtent l="95250" t="95250" r="101600" b="88900"/>
                      <wp:docPr id="60" name="Рисунок 22_0" descr="al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0" name="Рисунок 22_0" descr="alt"/>
                              <pic:cNvPicPr/>
                            </pic:nvPicPr>
                            <pic:blipFill>
                              <a:blip r:embed="rId76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22_0" stroked="f" style="position:absolute;margin-left:0pt;margin-top:-60.85pt;width:37.75pt;height:46.25pt;mso-wrap-style:none;v-text-anchor:middle;mso-position-vertical:top" wp14:anchorId="52016BD8" type="shapetype_75">
                      <v:imagedata r:id="rId77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Суражский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21799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</w:pPr>
            <w:r>
              <w:rPr>
                <w:sz w:val="24"/>
                <w:szCs w:val="24"/>
              </w:rPr>
              <w:t>г. Сураж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hyperlink r:id="rId78">
              <w:r>
                <w:rPr>
                  <w:b/>
                  <w:bCs/>
                  <w:sz w:val="20"/>
                  <w:szCs w:val="20"/>
                  <w:lang w:val="en-US"/>
                </w:rPr>
                <w:t>http</w:t>
              </w:r>
              <w:r>
                <w:rPr>
                  <w:b/>
                  <w:bCs/>
                  <w:sz w:val="20"/>
                  <w:szCs w:val="20"/>
                </w:rPr>
                <w:t>://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www</w:t>
              </w:r>
              <w:r>
                <w:rPr>
                  <w:b/>
                  <w:bCs/>
                  <w:sz w:val="20"/>
                  <w:szCs w:val="20"/>
                </w:rPr>
                <w:t>.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admsur</w:t>
              </w:r>
              <w:r>
                <w:rPr>
                  <w:b/>
                  <w:bCs/>
                  <w:sz w:val="20"/>
                  <w:szCs w:val="20"/>
                </w:rPr>
                <w:t>.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ru</w:t>
              </w:r>
              <w:r>
                <w:rPr>
                  <w:b/>
                  <w:bCs/>
                  <w:sz w:val="20"/>
                  <w:szCs w:val="20"/>
                </w:rPr>
                <w:t>/</w:t>
              </w:r>
            </w:hyperlink>
          </w:p>
        </w:tc>
      </w:tr>
      <w:tr w:rsidR="008E239A">
        <w:trPr>
          <w:trHeight w:val="36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3645BA9E">
                      <wp:extent cx="480695" cy="588645"/>
                      <wp:effectExtent l="95250" t="95250" r="101600" b="88900"/>
                      <wp:docPr id="61" name="Рисунок 24_0" descr="&amp;Gcy;&amp;iecy;&amp;rcy;&amp;bcy; &amp;ucy;&amp;iecy;&amp;zcy;&amp;dcy;&amp;ncy;&amp;ocy;&amp;gcy;&amp;ocy; &amp;tscy;&amp;iecy;&amp;ncy;&amp;tcy;&amp;rcy;&amp;acy;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1" name="Рисунок 24_0" descr="&amp;Gcy;&amp;iecy;&amp;rcy;&amp;bcy; &amp;ucy;&amp;iecy;&amp;zcy;&amp;dcy;&amp;ncy;&amp;ocy;&amp;gcy;&amp;ocy; &amp;tscy;&amp;iecy;&amp;ncy;&amp;tcy;&amp;rcy;&amp;acy;"/>
                              <pic:cNvPicPr/>
                            </pic:nvPicPr>
                            <pic:blipFill>
                              <a:blip r:embed="rId79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24_0" stroked="f" style="position:absolute;margin-left:0pt;margin-top:-60.85pt;width:37.75pt;height:46.25pt;mso-wrap-style:none;v-text-anchor:middle;mso-position-vertical:top" wp14:anchorId="3645BA9E" type="shapetype_75">
                      <v:imagedata r:id="rId80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Трубчевский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32771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</w:pPr>
            <w:r>
              <w:rPr>
                <w:sz w:val="24"/>
                <w:szCs w:val="24"/>
              </w:rPr>
              <w:t>г. Трубчевск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hyperlink r:id="rId81">
              <w:r>
                <w:rPr>
                  <w:b/>
                  <w:bCs/>
                  <w:sz w:val="20"/>
                  <w:szCs w:val="20"/>
                  <w:lang w:val="en-US"/>
                </w:rPr>
                <w:t>http</w:t>
              </w:r>
              <w:r>
                <w:rPr>
                  <w:b/>
                  <w:bCs/>
                  <w:sz w:val="20"/>
                  <w:szCs w:val="20"/>
                </w:rPr>
                <w:t>://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www</w:t>
              </w:r>
              <w:r>
                <w:rPr>
                  <w:b/>
                  <w:bCs/>
                  <w:sz w:val="20"/>
                  <w:szCs w:val="20"/>
                </w:rPr>
                <w:t>.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trubech</w:t>
              </w:r>
              <w:r>
                <w:rPr>
                  <w:b/>
                  <w:bCs/>
                  <w:sz w:val="20"/>
                  <w:szCs w:val="20"/>
                </w:rPr>
                <w:t>.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ru</w:t>
              </w:r>
              <w:r>
                <w:rPr>
                  <w:b/>
                  <w:bCs/>
                  <w:sz w:val="20"/>
                  <w:szCs w:val="20"/>
                </w:rPr>
                <w:t>/</w:t>
              </w:r>
            </w:hyperlink>
          </w:p>
        </w:tc>
      </w:tr>
      <w:tr w:rsidR="008E239A">
        <w:trPr>
          <w:trHeight w:val="36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95250" distB="88900" distL="95250" distR="101600" wp14:anchorId="76688B59">
                      <wp:extent cx="480695" cy="588645"/>
                      <wp:effectExtent l="95250" t="95250" r="101600" b="88900"/>
                      <wp:docPr id="62" name="Рисунок 23_0" descr="al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2" name="Рисунок 23_0" descr="alt"/>
                              <pic:cNvPicPr/>
                            </pic:nvPicPr>
                            <pic:blipFill>
                              <a:blip r:embed="rId82"/>
                              <a:stretch/>
                            </pic:blipFill>
                            <pic:spPr>
                              <a:xfrm>
                                <a:off x="0" y="0"/>
                                <a:ext cx="480240" cy="58788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  <a:effectLst>
                                <a:glow rad="63360">
                                  <a:srgbClr val="A6C285">
                                    <a:alpha val="40000"/>
                                  </a:srgbClr>
                                </a:glow>
                                <a:outerShdw blurRad="63500" sx="102000" sy="102000" algn="ctr" rotWithShape="0">
                                  <a:srgbClr val="000000">
                                    <a:alpha val="40000"/>
                                  </a:srgbClr>
                                </a:outerShdw>
                              </a:effectLst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23_0" stroked="f" style="position:absolute;margin-left:0pt;margin-top:-60.85pt;width:37.75pt;height:46.25pt;mso-wrap-style:none;v-text-anchor:middle;mso-position-vertical:top" wp14:anchorId="76688B59" type="shapetype_75">
                      <v:imagedata r:id="rId83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Унечский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муниципальный</w:t>
            </w:r>
          </w:p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район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spacing w:line="252" w:lineRule="auto"/>
              <w:jc w:val="center"/>
              <w:rPr>
                <w:color w:val="000000"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33801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административный центр</w:t>
            </w:r>
          </w:p>
          <w:p w:rsidR="008E239A" w:rsidRDefault="00D61E62">
            <w:pPr>
              <w:widowControl w:val="0"/>
              <w:jc w:val="center"/>
            </w:pPr>
            <w:r>
              <w:rPr>
                <w:sz w:val="24"/>
                <w:szCs w:val="24"/>
              </w:rPr>
              <w:t>г. Унеча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239A" w:rsidRDefault="00D61E62">
            <w:pPr>
              <w:widowControl w:val="0"/>
              <w:jc w:val="center"/>
            </w:pPr>
            <w:hyperlink r:id="rId84">
              <w:r>
                <w:rPr>
                  <w:b/>
                  <w:bCs/>
                  <w:sz w:val="20"/>
                  <w:szCs w:val="20"/>
                  <w:lang w:val="en-US"/>
                </w:rPr>
                <w:t>http</w:t>
              </w:r>
              <w:r>
                <w:rPr>
                  <w:b/>
                  <w:bCs/>
                  <w:sz w:val="20"/>
                  <w:szCs w:val="20"/>
                </w:rPr>
                <w:t>://</w:t>
              </w:r>
              <w:r>
                <w:rPr>
                  <w:b/>
                  <w:bCs/>
                  <w:sz w:val="20"/>
                  <w:szCs w:val="20"/>
                  <w:lang w:val="en-US"/>
                </w:rPr>
                <w:t>www.unradm.ru/</w:t>
              </w:r>
            </w:hyperlink>
          </w:p>
        </w:tc>
      </w:tr>
    </w:tbl>
    <w:p w:rsidR="008E239A" w:rsidRDefault="008E239A">
      <w:pPr>
        <w:ind w:left="720"/>
        <w:jc w:val="both"/>
      </w:pPr>
    </w:p>
    <w:p w:rsidR="008E239A" w:rsidRDefault="008E239A">
      <w:pPr>
        <w:pStyle w:val="a1"/>
        <w:spacing w:after="0"/>
        <w:ind w:left="720"/>
        <w:jc w:val="both"/>
        <w:rPr>
          <w:sz w:val="28"/>
          <w:szCs w:val="28"/>
        </w:rPr>
      </w:pPr>
    </w:p>
    <w:p w:rsidR="008E239A" w:rsidRDefault="008E239A">
      <w:pPr>
        <w:pStyle w:val="a1"/>
        <w:spacing w:after="0"/>
        <w:ind w:left="720"/>
        <w:jc w:val="both"/>
        <w:rPr>
          <w:sz w:val="28"/>
          <w:szCs w:val="28"/>
        </w:rPr>
      </w:pPr>
    </w:p>
    <w:p w:rsidR="008E239A" w:rsidRDefault="008E239A">
      <w:pPr>
        <w:pStyle w:val="a1"/>
        <w:spacing w:after="0"/>
        <w:ind w:left="720"/>
        <w:jc w:val="both"/>
        <w:rPr>
          <w:sz w:val="28"/>
          <w:szCs w:val="28"/>
        </w:rPr>
      </w:pPr>
    </w:p>
    <w:p w:rsidR="008E239A" w:rsidRDefault="008E239A">
      <w:pPr>
        <w:pStyle w:val="a1"/>
        <w:spacing w:after="0"/>
        <w:ind w:left="720"/>
        <w:jc w:val="both"/>
        <w:rPr>
          <w:sz w:val="28"/>
          <w:szCs w:val="28"/>
        </w:rPr>
      </w:pPr>
    </w:p>
    <w:p w:rsidR="008E239A" w:rsidRDefault="008E239A">
      <w:pPr>
        <w:pStyle w:val="a1"/>
        <w:spacing w:after="0"/>
        <w:ind w:left="720"/>
        <w:jc w:val="both"/>
        <w:rPr>
          <w:sz w:val="28"/>
          <w:szCs w:val="28"/>
        </w:rPr>
      </w:pPr>
    </w:p>
    <w:p w:rsidR="008E239A" w:rsidRDefault="008E239A">
      <w:pPr>
        <w:pStyle w:val="a1"/>
        <w:spacing w:after="0"/>
        <w:ind w:left="720"/>
        <w:jc w:val="both"/>
        <w:rPr>
          <w:sz w:val="28"/>
          <w:szCs w:val="28"/>
        </w:rPr>
      </w:pPr>
    </w:p>
    <w:p w:rsidR="008E239A" w:rsidRDefault="008E239A">
      <w:pPr>
        <w:jc w:val="right"/>
      </w:pPr>
    </w:p>
    <w:sectPr w:rsidR="008E239A">
      <w:footerReference w:type="default" r:id="rId85"/>
      <w:pgSz w:w="11906" w:h="16838"/>
      <w:pgMar w:top="720" w:right="720" w:bottom="765" w:left="1170" w:header="0" w:footer="708" w:gutter="0"/>
      <w:cols w:space="720"/>
      <w:formProt w:val="0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61E62" w:rsidRDefault="00D61E62">
      <w:r>
        <w:separator/>
      </w:r>
    </w:p>
  </w:endnote>
  <w:endnote w:type="continuationSeparator" w:id="0">
    <w:p w:rsidR="00D61E62" w:rsidRDefault="00D61E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OpenSymbol">
    <w:altName w:val="Arial Unicode MS"/>
    <w:panose1 w:val="05010000000000000000"/>
    <w:charset w:val="CC"/>
    <w:family w:val="roman"/>
    <w:pitch w:val="variable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iberation Serif">
    <w:altName w:val="Times New Roman"/>
    <w:panose1 w:val="02020603050405020304"/>
    <w:charset w:val="CC"/>
    <w:family w:val="roman"/>
    <w:pitch w:val="variable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panose1 w:val="020B0604020202020204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MS Mincho;ＭＳ 明朝">
    <w:panose1 w:val="00000000000000000000"/>
    <w:charset w:val="8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0972937"/>
      <w:docPartObj>
        <w:docPartGallery w:val="Page Numbers (Bottom of Page)"/>
        <w:docPartUnique/>
      </w:docPartObj>
    </w:sdtPr>
    <w:sdtEndPr/>
    <w:sdtContent>
      <w:p w:rsidR="008E239A" w:rsidRDefault="00D61E62">
        <w:pPr>
          <w:pStyle w:val="aff4"/>
          <w:jc w:val="right"/>
        </w:pPr>
        <w:r>
          <w:fldChar w:fldCharType="begin"/>
        </w:r>
        <w:r>
          <w:instrText>PAGE</w:instrText>
        </w:r>
        <w:r>
          <w:fldChar w:fldCharType="separate"/>
        </w:r>
        <w:r w:rsidR="00AD6A4D">
          <w:rPr>
            <w:noProof/>
          </w:rPr>
          <w:t>48</w:t>
        </w:r>
        <w:r>
          <w:fldChar w:fldCharType="end"/>
        </w:r>
      </w:p>
      <w:p w:rsidR="008E239A" w:rsidRDefault="00D61E62">
        <w:pPr>
          <w:pStyle w:val="aff4"/>
        </w:pP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61E62" w:rsidRDefault="00D61E62">
      <w:r>
        <w:separator/>
      </w:r>
    </w:p>
  </w:footnote>
  <w:footnote w:type="continuationSeparator" w:id="0">
    <w:p w:rsidR="00D61E62" w:rsidRDefault="00D61E6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442540"/>
    <w:multiLevelType w:val="multilevel"/>
    <w:tmpl w:val="7BCCB7B8"/>
    <w:lvl w:ilvl="0">
      <w:numFmt w:val="none"/>
      <w:suff w:val="nothing"/>
      <w:lvlText w:val=""/>
      <w:lvlJc w:val="left"/>
      <w:pPr>
        <w:tabs>
          <w:tab w:val="num" w:pos="0"/>
        </w:tabs>
        <w:ind w:left="720" w:hanging="360"/>
      </w:p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">
    <w:nsid w:val="06E70934"/>
    <w:multiLevelType w:val="multilevel"/>
    <w:tmpl w:val="8C22956E"/>
    <w:lvl w:ilvl="0">
      <w:start w:val="1"/>
      <w:numFmt w:val="decimal"/>
      <w:lvlText w:val="%1."/>
      <w:lvlJc w:val="left"/>
      <w:pPr>
        <w:tabs>
          <w:tab w:val="num" w:pos="0"/>
        </w:tabs>
        <w:ind w:left="1770" w:hanging="105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40" w:hanging="180"/>
      </w:pPr>
    </w:lvl>
  </w:abstractNum>
  <w:abstractNum w:abstractNumId="2">
    <w:nsid w:val="080A22BA"/>
    <w:multiLevelType w:val="multilevel"/>
    <w:tmpl w:val="E25C9EE0"/>
    <w:lvl w:ilvl="0">
      <w:start w:val="1"/>
      <w:numFmt w:val="upperRoman"/>
      <w:lvlText w:val="%1."/>
      <w:lvlJc w:val="left"/>
      <w:pPr>
        <w:tabs>
          <w:tab w:val="num" w:pos="1288"/>
        </w:tabs>
        <w:ind w:left="1288" w:hanging="720"/>
      </w:pPr>
      <w:rPr>
        <w:rFonts w:cs="Times New Roman"/>
      </w:rPr>
    </w:lvl>
    <w:lvl w:ilvl="1">
      <w:start w:val="6"/>
      <w:numFmt w:val="decimal"/>
      <w:lvlText w:val="%2."/>
      <w:lvlJc w:val="left"/>
      <w:pPr>
        <w:tabs>
          <w:tab w:val="num" w:pos="2145"/>
        </w:tabs>
        <w:ind w:left="2145" w:hanging="1065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222D4153"/>
    <w:multiLevelType w:val="multilevel"/>
    <w:tmpl w:val="A71C8F18"/>
    <w:lvl w:ilvl="0">
      <w:start w:val="1"/>
      <w:numFmt w:val="upperRoman"/>
      <w:lvlText w:val="%1."/>
      <w:lvlJc w:val="left"/>
      <w:pPr>
        <w:tabs>
          <w:tab w:val="num" w:pos="0"/>
        </w:tabs>
        <w:ind w:left="1080" w:hanging="720"/>
      </w:pPr>
    </w:lvl>
    <w:lvl w:ilvl="1">
      <w:start w:val="3"/>
      <w:numFmt w:val="decimal"/>
      <w:lvlText w:val="%1.%2."/>
      <w:lvlJc w:val="left"/>
      <w:pPr>
        <w:tabs>
          <w:tab w:val="num" w:pos="0"/>
        </w:tabs>
        <w:ind w:left="1080" w:hanging="72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440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80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16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6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520" w:hanging="2160"/>
      </w:pPr>
    </w:lvl>
  </w:abstractNum>
  <w:abstractNum w:abstractNumId="4">
    <w:nsid w:val="2B952D18"/>
    <w:multiLevelType w:val="multilevel"/>
    <w:tmpl w:val="3860489A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5">
    <w:nsid w:val="41A04ED2"/>
    <w:multiLevelType w:val="multilevel"/>
    <w:tmpl w:val="2034D27C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6">
    <w:nsid w:val="46282C9F"/>
    <w:multiLevelType w:val="multilevel"/>
    <w:tmpl w:val="293070A0"/>
    <w:lvl w:ilvl="0">
      <w:start w:val="1"/>
      <w:numFmt w:val="upperRoman"/>
      <w:lvlText w:val="%1."/>
      <w:lvlJc w:val="left"/>
      <w:pPr>
        <w:tabs>
          <w:tab w:val="num" w:pos="1288"/>
        </w:tabs>
        <w:ind w:left="1288" w:hanging="720"/>
      </w:pPr>
      <w:rPr>
        <w:rFonts w:cs="Times New Roman"/>
      </w:rPr>
    </w:lvl>
    <w:lvl w:ilvl="1">
      <w:start w:val="6"/>
      <w:numFmt w:val="decimal"/>
      <w:lvlText w:val="%2."/>
      <w:lvlJc w:val="left"/>
      <w:pPr>
        <w:tabs>
          <w:tab w:val="num" w:pos="2145"/>
        </w:tabs>
        <w:ind w:left="2145" w:hanging="1065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46E87276"/>
    <w:multiLevelType w:val="multilevel"/>
    <w:tmpl w:val="F36C3D1E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8">
    <w:nsid w:val="4CB46897"/>
    <w:multiLevelType w:val="multilevel"/>
    <w:tmpl w:val="862EF40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9">
    <w:nsid w:val="4FFA7E65"/>
    <w:multiLevelType w:val="multilevel"/>
    <w:tmpl w:val="5C1883E2"/>
    <w:lvl w:ilvl="0">
      <w:start w:val="1"/>
      <w:numFmt w:val="upperRoman"/>
      <w:lvlText w:val="%1."/>
      <w:lvlJc w:val="left"/>
      <w:pPr>
        <w:tabs>
          <w:tab w:val="num" w:pos="1288"/>
        </w:tabs>
        <w:ind w:left="1288" w:hanging="720"/>
      </w:pPr>
      <w:rPr>
        <w:rFonts w:cs="Times New Roman"/>
      </w:rPr>
    </w:lvl>
    <w:lvl w:ilvl="1">
      <w:start w:val="6"/>
      <w:numFmt w:val="decimal"/>
      <w:lvlText w:val="%2."/>
      <w:lvlJc w:val="left"/>
      <w:pPr>
        <w:tabs>
          <w:tab w:val="num" w:pos="2145"/>
        </w:tabs>
        <w:ind w:left="2145" w:hanging="1065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8"/>
  </w:num>
  <w:num w:numId="3">
    <w:abstractNumId w:val="5"/>
  </w:num>
  <w:num w:numId="4">
    <w:abstractNumId w:val="7"/>
  </w:num>
  <w:num w:numId="5">
    <w:abstractNumId w:val="1"/>
  </w:num>
  <w:num w:numId="6">
    <w:abstractNumId w:val="0"/>
  </w:num>
  <w:num w:numId="7">
    <w:abstractNumId w:val="9"/>
  </w:num>
  <w:num w:numId="8">
    <w:abstractNumId w:val="2"/>
  </w:num>
  <w:num w:numId="9">
    <w:abstractNumId w:val="6"/>
  </w:num>
  <w:num w:numId="10">
    <w:abstractNumId w:val="3"/>
  </w:num>
  <w:num w:numId="11">
    <w:abstractNumId w:val="9"/>
    <w:lvlOverride w:ilvl="0">
      <w:startOverride w:val="1"/>
    </w:lvlOverride>
  </w:num>
  <w:num w:numId="12">
    <w:abstractNumId w:val="9"/>
  </w:num>
  <w:num w:numId="13">
    <w:abstractNumId w:val="9"/>
  </w:num>
  <w:num w:numId="14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239A"/>
    <w:rsid w:val="008E239A"/>
    <w:rsid w:val="00AD6A4D"/>
    <w:rsid w:val="00D61E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1825"/>
    <w:pPr>
      <w:suppressAutoHyphens w:val="0"/>
    </w:pPr>
    <w:rPr>
      <w:rFonts w:ascii="Times New Roman" w:eastAsia="Times New Roman" w:hAnsi="Times New Roman"/>
      <w:sz w:val="28"/>
      <w:szCs w:val="28"/>
    </w:rPr>
  </w:style>
  <w:style w:type="paragraph" w:styleId="1">
    <w:name w:val="heading 1"/>
    <w:basedOn w:val="a"/>
    <w:next w:val="a"/>
    <w:link w:val="10"/>
    <w:uiPriority w:val="99"/>
    <w:qFormat/>
    <w:rsid w:val="00BB0975"/>
    <w:pPr>
      <w:spacing w:before="108" w:after="108"/>
      <w:jc w:val="center"/>
      <w:outlineLvl w:val="0"/>
    </w:pPr>
    <w:rPr>
      <w:rFonts w:ascii="Arial" w:hAnsi="Arial" w:cs="Arial"/>
      <w:b/>
      <w:bCs/>
      <w:color w:val="000080"/>
      <w:sz w:val="20"/>
      <w:szCs w:val="20"/>
      <w:lang w:eastAsia="en-US"/>
    </w:rPr>
  </w:style>
  <w:style w:type="paragraph" w:styleId="2">
    <w:name w:val="heading 2"/>
    <w:basedOn w:val="a0"/>
    <w:next w:val="a1"/>
    <w:link w:val="20"/>
    <w:qFormat/>
    <w:pPr>
      <w:numPr>
        <w:ilvl w:val="1"/>
        <w:numId w:val="1"/>
      </w:numPr>
      <w:spacing w:before="200"/>
      <w:outlineLvl w:val="1"/>
    </w:pPr>
    <w:rPr>
      <w:rFonts w:ascii="Liberation Serif" w:eastAsia="Segoe UI" w:hAnsi="Liberation Serif" w:cs="Tahoma"/>
      <w:b/>
      <w:bCs/>
      <w:sz w:val="36"/>
      <w:szCs w:val="3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-">
    <w:name w:val="Интернет-ссылка"/>
    <w:basedOn w:val="a2"/>
    <w:uiPriority w:val="99"/>
    <w:unhideWhenUsed/>
    <w:rsid w:val="00ED5F27"/>
    <w:rPr>
      <w:color w:val="0000FF"/>
      <w:u w:val="single"/>
    </w:rPr>
  </w:style>
  <w:style w:type="character" w:customStyle="1" w:styleId="a5">
    <w:name w:val="Основной текст с отступом Знак"/>
    <w:basedOn w:val="a2"/>
    <w:qFormat/>
    <w:rsid w:val="006C4E7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annotation reference"/>
    <w:basedOn w:val="a2"/>
    <w:uiPriority w:val="99"/>
    <w:semiHidden/>
    <w:unhideWhenUsed/>
    <w:qFormat/>
    <w:rsid w:val="006C4E78"/>
    <w:rPr>
      <w:sz w:val="16"/>
      <w:szCs w:val="16"/>
    </w:rPr>
  </w:style>
  <w:style w:type="character" w:customStyle="1" w:styleId="a7">
    <w:name w:val="Текст примечания Знак"/>
    <w:basedOn w:val="a2"/>
    <w:uiPriority w:val="99"/>
    <w:semiHidden/>
    <w:qFormat/>
    <w:rsid w:val="006C4E7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8">
    <w:name w:val="Текст выноски Знак"/>
    <w:basedOn w:val="a2"/>
    <w:uiPriority w:val="99"/>
    <w:semiHidden/>
    <w:qFormat/>
    <w:rsid w:val="006C4E7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9">
    <w:name w:val="Верхний колонтитул Знак"/>
    <w:basedOn w:val="a2"/>
    <w:qFormat/>
    <w:rsid w:val="00F23F4F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a">
    <w:name w:val="Нижний колонтитул Знак"/>
    <w:basedOn w:val="a2"/>
    <w:uiPriority w:val="99"/>
    <w:qFormat/>
    <w:rsid w:val="00F23F4F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b">
    <w:name w:val="Название Знак"/>
    <w:basedOn w:val="a2"/>
    <w:qFormat/>
    <w:rsid w:val="00343753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BodyTextIndentChar">
    <w:name w:val="Body Text Indent Char"/>
    <w:basedOn w:val="a2"/>
    <w:link w:val="11"/>
    <w:qFormat/>
    <w:rsid w:val="00465ACB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c">
    <w:name w:val="Ст. без интервала Знак"/>
    <w:qFormat/>
    <w:rsid w:val="007B2D15"/>
    <w:rPr>
      <w:rFonts w:ascii="Times New Roman" w:eastAsia="Calibri" w:hAnsi="Times New Roman" w:cs="Times New Roman"/>
      <w:sz w:val="28"/>
      <w:szCs w:val="28"/>
    </w:rPr>
  </w:style>
  <w:style w:type="character" w:customStyle="1" w:styleId="ad">
    <w:name w:val="Основной текст Знак"/>
    <w:basedOn w:val="a2"/>
    <w:qFormat/>
    <w:rsid w:val="00B0490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2"/>
    <w:link w:val="1"/>
    <w:uiPriority w:val="99"/>
    <w:qFormat/>
    <w:rsid w:val="00BB0975"/>
    <w:rPr>
      <w:rFonts w:ascii="Arial" w:eastAsia="Times New Roman" w:hAnsi="Arial" w:cs="Arial"/>
      <w:b/>
      <w:bCs/>
      <w:color w:val="000080"/>
      <w:sz w:val="20"/>
      <w:szCs w:val="20"/>
    </w:rPr>
  </w:style>
  <w:style w:type="character" w:customStyle="1" w:styleId="ae">
    <w:name w:val="Текст сноски Знак"/>
    <w:basedOn w:val="a2"/>
    <w:uiPriority w:val="99"/>
    <w:semiHidden/>
    <w:qFormat/>
    <w:rsid w:val="00416E76"/>
    <w:rPr>
      <w:rFonts w:ascii="Times New Roman" w:eastAsia="Times New Roman" w:hAnsi="Times New Roman"/>
    </w:rPr>
  </w:style>
  <w:style w:type="character" w:customStyle="1" w:styleId="af">
    <w:name w:val="Привязка сноски"/>
    <w:rPr>
      <w:vertAlign w:val="superscript"/>
    </w:rPr>
  </w:style>
  <w:style w:type="character" w:customStyle="1" w:styleId="FootnoteCharacters">
    <w:name w:val="Footnote Characters"/>
    <w:basedOn w:val="a2"/>
    <w:uiPriority w:val="99"/>
    <w:semiHidden/>
    <w:unhideWhenUsed/>
    <w:qFormat/>
    <w:rsid w:val="00416E76"/>
    <w:rPr>
      <w:vertAlign w:val="superscript"/>
    </w:rPr>
  </w:style>
  <w:style w:type="character" w:styleId="af0">
    <w:name w:val="Emphasis"/>
    <w:qFormat/>
    <w:rsid w:val="001A68A9"/>
    <w:rPr>
      <w:i/>
      <w:iCs/>
    </w:rPr>
  </w:style>
  <w:style w:type="character" w:customStyle="1" w:styleId="20">
    <w:name w:val="Заголовок 2 Знак"/>
    <w:basedOn w:val="a2"/>
    <w:link w:val="2"/>
    <w:qFormat/>
    <w:rsid w:val="00BA591E"/>
    <w:rPr>
      <w:rFonts w:ascii="Times New Roman" w:eastAsia="Times New Roman" w:hAnsi="Times New Roman"/>
      <w:sz w:val="28"/>
      <w:szCs w:val="28"/>
    </w:rPr>
  </w:style>
  <w:style w:type="character" w:customStyle="1" w:styleId="s7">
    <w:name w:val="s7"/>
    <w:basedOn w:val="a2"/>
    <w:qFormat/>
    <w:rsid w:val="00A85921"/>
  </w:style>
  <w:style w:type="character" w:customStyle="1" w:styleId="af1">
    <w:name w:val="Текст концевой сноски Знак"/>
    <w:basedOn w:val="a2"/>
    <w:uiPriority w:val="99"/>
    <w:semiHidden/>
    <w:qFormat/>
    <w:rsid w:val="00072C9B"/>
    <w:rPr>
      <w:rFonts w:ascii="Times New Roman" w:eastAsia="Times New Roman" w:hAnsi="Times New Roman"/>
    </w:rPr>
  </w:style>
  <w:style w:type="character" w:customStyle="1" w:styleId="af2">
    <w:name w:val="Привязка концевой сноски"/>
    <w:rPr>
      <w:vertAlign w:val="superscript"/>
    </w:rPr>
  </w:style>
  <w:style w:type="character" w:customStyle="1" w:styleId="EndnoteCharacters">
    <w:name w:val="Endnote Characters"/>
    <w:basedOn w:val="a2"/>
    <w:uiPriority w:val="99"/>
    <w:semiHidden/>
    <w:unhideWhenUsed/>
    <w:qFormat/>
    <w:rsid w:val="00072C9B"/>
    <w:rPr>
      <w:vertAlign w:val="superscript"/>
    </w:rPr>
  </w:style>
  <w:style w:type="character" w:customStyle="1" w:styleId="3">
    <w:name w:val="Основной текст с отступом 3 Знак"/>
    <w:basedOn w:val="a2"/>
    <w:link w:val="3"/>
    <w:uiPriority w:val="99"/>
    <w:semiHidden/>
    <w:qFormat/>
    <w:rsid w:val="00225369"/>
    <w:rPr>
      <w:rFonts w:ascii="Times New Roman" w:eastAsia="Times New Roman" w:hAnsi="Times New Roman"/>
      <w:sz w:val="16"/>
      <w:szCs w:val="16"/>
    </w:rPr>
  </w:style>
  <w:style w:type="character" w:customStyle="1" w:styleId="af3">
    <w:name w:val="Основной текст_"/>
    <w:link w:val="30"/>
    <w:qFormat/>
    <w:rsid w:val="00225369"/>
    <w:rPr>
      <w:rFonts w:ascii="Times New Roman" w:eastAsia="Times New Roman" w:hAnsi="Times New Roman"/>
      <w:sz w:val="26"/>
      <w:szCs w:val="26"/>
      <w:shd w:val="clear" w:color="auto" w:fill="FFFFFF"/>
    </w:rPr>
  </w:style>
  <w:style w:type="character" w:customStyle="1" w:styleId="11">
    <w:name w:val="Основной текст1"/>
    <w:link w:val="BodyTextIndentChar"/>
    <w:qFormat/>
    <w:rsid w:val="00225369"/>
  </w:style>
  <w:style w:type="character" w:customStyle="1" w:styleId="af4">
    <w:name w:val="Без интервала Знак"/>
    <w:basedOn w:val="a2"/>
    <w:uiPriority w:val="1"/>
    <w:qFormat/>
    <w:rsid w:val="008B013B"/>
    <w:rPr>
      <w:rFonts w:ascii="Times New Roman" w:hAnsi="Times New Roman"/>
      <w:lang w:eastAsia="en-US"/>
    </w:rPr>
  </w:style>
  <w:style w:type="character" w:customStyle="1" w:styleId="af5">
    <w:name w:val="Тема примечания Знак"/>
    <w:basedOn w:val="a7"/>
    <w:uiPriority w:val="99"/>
    <w:semiHidden/>
    <w:qFormat/>
    <w:rsid w:val="0079129E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af6">
    <w:name w:val="Посещённая гиперссылка"/>
    <w:basedOn w:val="a2"/>
    <w:uiPriority w:val="99"/>
    <w:semiHidden/>
    <w:unhideWhenUsed/>
    <w:rsid w:val="003B7CD0"/>
    <w:rPr>
      <w:color w:val="7F6F6F" w:themeColor="followedHyperlink"/>
      <w:u w:val="single"/>
    </w:rPr>
  </w:style>
  <w:style w:type="character" w:customStyle="1" w:styleId="af7">
    <w:name w:val="Символ сноски"/>
    <w:qFormat/>
  </w:style>
  <w:style w:type="character" w:customStyle="1" w:styleId="af8">
    <w:name w:val="Символ концевой сноски"/>
    <w:qFormat/>
  </w:style>
  <w:style w:type="character" w:customStyle="1" w:styleId="af9">
    <w:name w:val="Маркеры"/>
    <w:qFormat/>
    <w:rPr>
      <w:rFonts w:ascii="OpenSymbol" w:eastAsia="OpenSymbol" w:hAnsi="OpenSymbol" w:cs="OpenSymbol"/>
    </w:rPr>
  </w:style>
  <w:style w:type="character" w:customStyle="1" w:styleId="afa">
    <w:name w:val="Символ нумерации"/>
    <w:qFormat/>
  </w:style>
  <w:style w:type="character" w:customStyle="1" w:styleId="cs51e4b11d">
    <w:name w:val="cs51e4b11d"/>
    <w:basedOn w:val="a2"/>
    <w:qFormat/>
  </w:style>
  <w:style w:type="character" w:customStyle="1" w:styleId="FontStyle21">
    <w:name w:val="Font Style21"/>
    <w:qFormat/>
    <w:rPr>
      <w:rFonts w:ascii="Times New Roman" w:hAnsi="Times New Roman" w:cs="Times New Roman"/>
      <w:sz w:val="28"/>
      <w:szCs w:val="28"/>
    </w:rPr>
  </w:style>
  <w:style w:type="character" w:customStyle="1" w:styleId="WW8Num2z0">
    <w:name w:val="WW8Num2z0"/>
    <w:qFormat/>
    <w:rPr>
      <w:rFonts w:eastAsia="Times New Roman" w:cs="Times New Roman"/>
      <w:b w:val="0"/>
      <w:bCs w:val="0"/>
      <w:i w:val="0"/>
      <w:iCs w:val="0"/>
      <w:color w:val="000000"/>
      <w:spacing w:val="2"/>
      <w:sz w:val="28"/>
      <w:szCs w:val="30"/>
      <w:lang w:val="ru-RU" w:eastAsia="ru-RU" w:bidi="ar-SA"/>
    </w:rPr>
  </w:style>
  <w:style w:type="character" w:customStyle="1" w:styleId="WW8Num2z1">
    <w:name w:val="WW8Num2z1"/>
    <w:qFormat/>
    <w:rPr>
      <w:rFonts w:eastAsia="Times New Roman" w:cs="Times New Roman"/>
      <w:b w:val="0"/>
      <w:bCs w:val="0"/>
      <w:color w:val="000000"/>
      <w:sz w:val="28"/>
      <w:szCs w:val="28"/>
      <w:lang w:val="ru-RU" w:eastAsia="zh-CN" w:bidi="ar-SA"/>
    </w:rPr>
  </w:style>
  <w:style w:type="paragraph" w:customStyle="1" w:styleId="a0">
    <w:name w:val="Заголовок"/>
    <w:basedOn w:val="a"/>
    <w:next w:val="a1"/>
    <w:qFormat/>
    <w:pPr>
      <w:keepNext/>
      <w:spacing w:before="240" w:after="120"/>
    </w:pPr>
    <w:rPr>
      <w:rFonts w:ascii="Liberation Sans" w:eastAsia="Microsoft YaHei" w:hAnsi="Liberation Sans" w:cs="Arial"/>
    </w:rPr>
  </w:style>
  <w:style w:type="paragraph" w:styleId="a1">
    <w:name w:val="Body Text"/>
    <w:basedOn w:val="a"/>
    <w:rsid w:val="00B04902"/>
    <w:pPr>
      <w:spacing w:after="120"/>
    </w:pPr>
    <w:rPr>
      <w:sz w:val="24"/>
      <w:szCs w:val="24"/>
    </w:rPr>
  </w:style>
  <w:style w:type="paragraph" w:styleId="afb">
    <w:name w:val="List"/>
    <w:basedOn w:val="a1"/>
    <w:rPr>
      <w:rFonts w:cs="Arial"/>
    </w:rPr>
  </w:style>
  <w:style w:type="paragraph" w:styleId="afc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fd">
    <w:name w:val="index heading"/>
    <w:basedOn w:val="a"/>
    <w:qFormat/>
    <w:pPr>
      <w:suppressLineNumbers/>
    </w:pPr>
    <w:rPr>
      <w:rFonts w:cs="Arial"/>
    </w:rPr>
  </w:style>
  <w:style w:type="paragraph" w:styleId="afe">
    <w:name w:val="Normal (Web)"/>
    <w:basedOn w:val="a"/>
    <w:qFormat/>
    <w:pPr>
      <w:spacing w:before="280" w:after="280"/>
    </w:pPr>
  </w:style>
  <w:style w:type="paragraph" w:styleId="aff">
    <w:name w:val="Body Text Indent"/>
    <w:basedOn w:val="a"/>
    <w:unhideWhenUsed/>
    <w:rsid w:val="006C4E78"/>
    <w:pPr>
      <w:spacing w:after="120"/>
      <w:ind w:left="283"/>
    </w:pPr>
    <w:rPr>
      <w:sz w:val="24"/>
      <w:szCs w:val="24"/>
    </w:rPr>
  </w:style>
  <w:style w:type="paragraph" w:customStyle="1" w:styleId="BodyText21">
    <w:name w:val="Body Text 21"/>
    <w:basedOn w:val="a"/>
    <w:uiPriority w:val="99"/>
    <w:qFormat/>
    <w:rsid w:val="006C4E78"/>
    <w:pPr>
      <w:widowControl w:val="0"/>
    </w:pPr>
    <w:rPr>
      <w:spacing w:val="-2"/>
      <w:sz w:val="24"/>
      <w:szCs w:val="20"/>
      <w:lang w:val="de-DE"/>
    </w:rPr>
  </w:style>
  <w:style w:type="paragraph" w:customStyle="1" w:styleId="ConsPlusNonformat">
    <w:name w:val="ConsPlusNonformat"/>
    <w:uiPriority w:val="99"/>
    <w:qFormat/>
    <w:rsid w:val="006C4E78"/>
    <w:rPr>
      <w:rFonts w:ascii="Courier New" w:eastAsia="Times New Roman" w:hAnsi="Courier New" w:cs="Courier New"/>
    </w:rPr>
  </w:style>
  <w:style w:type="paragraph" w:styleId="aff0">
    <w:name w:val="annotation text"/>
    <w:basedOn w:val="a"/>
    <w:uiPriority w:val="99"/>
    <w:semiHidden/>
    <w:unhideWhenUsed/>
    <w:qFormat/>
    <w:rsid w:val="006C4E78"/>
    <w:rPr>
      <w:sz w:val="20"/>
      <w:szCs w:val="20"/>
    </w:rPr>
  </w:style>
  <w:style w:type="paragraph" w:styleId="aff1">
    <w:name w:val="Balloon Text"/>
    <w:basedOn w:val="a"/>
    <w:uiPriority w:val="99"/>
    <w:semiHidden/>
    <w:unhideWhenUsed/>
    <w:qFormat/>
    <w:rsid w:val="006C4E78"/>
    <w:rPr>
      <w:rFonts w:ascii="Tahoma" w:hAnsi="Tahoma" w:cs="Tahoma"/>
      <w:sz w:val="16"/>
      <w:szCs w:val="16"/>
    </w:rPr>
  </w:style>
  <w:style w:type="paragraph" w:customStyle="1" w:styleId="aff2">
    <w:name w:val="Верхний и нижний колонтитулы"/>
    <w:basedOn w:val="a"/>
    <w:qFormat/>
  </w:style>
  <w:style w:type="paragraph" w:styleId="aff3">
    <w:name w:val="header"/>
    <w:basedOn w:val="a"/>
    <w:unhideWhenUsed/>
    <w:rsid w:val="00F23F4F"/>
    <w:pPr>
      <w:tabs>
        <w:tab w:val="center" w:pos="4677"/>
        <w:tab w:val="right" w:pos="9355"/>
      </w:tabs>
    </w:pPr>
  </w:style>
  <w:style w:type="paragraph" w:styleId="aff4">
    <w:name w:val="footer"/>
    <w:basedOn w:val="a"/>
    <w:uiPriority w:val="99"/>
    <w:unhideWhenUsed/>
    <w:rsid w:val="00F23F4F"/>
    <w:pPr>
      <w:tabs>
        <w:tab w:val="center" w:pos="4677"/>
        <w:tab w:val="right" w:pos="9355"/>
      </w:tabs>
    </w:pPr>
  </w:style>
  <w:style w:type="paragraph" w:styleId="aff5">
    <w:name w:val="Title"/>
    <w:basedOn w:val="a"/>
    <w:qFormat/>
    <w:rsid w:val="00343753"/>
    <w:pPr>
      <w:jc w:val="center"/>
    </w:pPr>
    <w:rPr>
      <w:b/>
      <w:bCs/>
      <w:sz w:val="24"/>
      <w:szCs w:val="24"/>
    </w:rPr>
  </w:style>
  <w:style w:type="paragraph" w:styleId="aff6">
    <w:name w:val="No Spacing"/>
    <w:uiPriority w:val="1"/>
    <w:qFormat/>
    <w:rsid w:val="00343753"/>
    <w:pPr>
      <w:widowControl w:val="0"/>
    </w:pPr>
    <w:rPr>
      <w:rFonts w:ascii="Times New Roman" w:hAnsi="Times New Roman"/>
      <w:lang w:eastAsia="en-US"/>
    </w:rPr>
  </w:style>
  <w:style w:type="paragraph" w:styleId="aff7">
    <w:name w:val="List Paragraph"/>
    <w:basedOn w:val="a"/>
    <w:uiPriority w:val="34"/>
    <w:qFormat/>
    <w:rsid w:val="00343753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12">
    <w:name w:val="Абзац списка1"/>
    <w:basedOn w:val="a"/>
    <w:qFormat/>
    <w:rsid w:val="00343753"/>
    <w:pPr>
      <w:widowControl w:val="0"/>
      <w:suppressAutoHyphens/>
      <w:spacing w:after="200" w:line="276" w:lineRule="auto"/>
      <w:ind w:left="720"/>
    </w:pPr>
    <w:rPr>
      <w:rFonts w:ascii="Calibri" w:hAnsi="Calibri" w:cs="Calibri"/>
      <w:sz w:val="22"/>
      <w:szCs w:val="22"/>
      <w:lang w:eastAsia="ar-SA"/>
    </w:rPr>
  </w:style>
  <w:style w:type="paragraph" w:customStyle="1" w:styleId="ConsPlusNormal">
    <w:name w:val="ConsPlusNormal"/>
    <w:qFormat/>
    <w:rsid w:val="00465ACB"/>
    <w:pPr>
      <w:widowControl w:val="0"/>
      <w:ind w:firstLine="720"/>
    </w:pPr>
    <w:rPr>
      <w:rFonts w:ascii="Arial" w:eastAsia="Times New Roman" w:hAnsi="Arial" w:cs="Arial"/>
    </w:rPr>
  </w:style>
  <w:style w:type="paragraph" w:customStyle="1" w:styleId="13">
    <w:name w:val="Основной текст с отступом1"/>
    <w:basedOn w:val="a"/>
    <w:qFormat/>
    <w:rsid w:val="00465ACB"/>
    <w:pPr>
      <w:spacing w:after="120"/>
      <w:ind w:left="283"/>
    </w:pPr>
    <w:rPr>
      <w:sz w:val="24"/>
      <w:szCs w:val="24"/>
    </w:rPr>
  </w:style>
  <w:style w:type="paragraph" w:customStyle="1" w:styleId="110">
    <w:name w:val="Знак1 Знак Знак Знак Знак Знак1 Знак"/>
    <w:basedOn w:val="a"/>
    <w:qFormat/>
    <w:rsid w:val="007B2D15"/>
    <w:pPr>
      <w:spacing w:after="160"/>
    </w:pPr>
    <w:rPr>
      <w:sz w:val="24"/>
      <w:szCs w:val="24"/>
      <w:lang w:val="en-US" w:eastAsia="en-US"/>
    </w:rPr>
  </w:style>
  <w:style w:type="paragraph" w:customStyle="1" w:styleId="aff8">
    <w:name w:val="Ст. без интервала"/>
    <w:basedOn w:val="a"/>
    <w:qFormat/>
    <w:rsid w:val="007B2D15"/>
    <w:rPr>
      <w:rFonts w:eastAsia="Calibri"/>
    </w:rPr>
  </w:style>
  <w:style w:type="paragraph" w:customStyle="1" w:styleId="Default">
    <w:name w:val="Default"/>
    <w:qFormat/>
    <w:rsid w:val="00C943D1"/>
    <w:rPr>
      <w:rFonts w:ascii="Times New Roman" w:hAnsi="Times New Roman"/>
      <w:color w:val="000000"/>
      <w:sz w:val="24"/>
      <w:szCs w:val="24"/>
      <w:lang w:eastAsia="en-US"/>
    </w:rPr>
  </w:style>
  <w:style w:type="paragraph" w:customStyle="1" w:styleId="aff9">
    <w:name w:val="Нормальный (таблица)"/>
    <w:basedOn w:val="a"/>
    <w:next w:val="a"/>
    <w:qFormat/>
    <w:rsid w:val="00B04902"/>
    <w:pPr>
      <w:widowControl w:val="0"/>
    </w:pPr>
    <w:rPr>
      <w:rFonts w:ascii="Arial" w:hAnsi="Arial" w:cs="Arial"/>
      <w:sz w:val="24"/>
      <w:szCs w:val="24"/>
    </w:rPr>
  </w:style>
  <w:style w:type="paragraph" w:customStyle="1" w:styleId="affa">
    <w:name w:val="Прижатый влево"/>
    <w:basedOn w:val="a"/>
    <w:next w:val="a"/>
    <w:uiPriority w:val="99"/>
    <w:qFormat/>
    <w:rsid w:val="00B04902"/>
    <w:rPr>
      <w:rFonts w:ascii="Arial" w:eastAsia="Calibri" w:hAnsi="Arial" w:cs="Arial"/>
      <w:sz w:val="24"/>
      <w:szCs w:val="24"/>
    </w:rPr>
  </w:style>
  <w:style w:type="paragraph" w:styleId="affb">
    <w:name w:val="footnote text"/>
    <w:basedOn w:val="a"/>
    <w:uiPriority w:val="99"/>
    <w:semiHidden/>
    <w:unhideWhenUsed/>
    <w:rsid w:val="00416E76"/>
    <w:rPr>
      <w:sz w:val="20"/>
      <w:szCs w:val="20"/>
    </w:rPr>
  </w:style>
  <w:style w:type="paragraph" w:styleId="21">
    <w:name w:val="Body Text Indent 2"/>
    <w:basedOn w:val="a"/>
    <w:unhideWhenUsed/>
    <w:qFormat/>
    <w:rsid w:val="00BA591E"/>
    <w:pPr>
      <w:spacing w:after="120" w:line="480" w:lineRule="auto"/>
      <w:ind w:left="283"/>
    </w:pPr>
  </w:style>
  <w:style w:type="paragraph" w:customStyle="1" w:styleId="14">
    <w:name w:val="Знак Знак Знак1"/>
    <w:basedOn w:val="a"/>
    <w:qFormat/>
    <w:rsid w:val="00EE4AEA"/>
    <w:pPr>
      <w:spacing w:beforeAutospacing="1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affc">
    <w:name w:val="Знак Знак Знак Знак Знак Знак Знак Знак Знак Знак Знак Знак Знак Знак Знак Знак"/>
    <w:basedOn w:val="a"/>
    <w:qFormat/>
    <w:rsid w:val="00A8011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affd">
    <w:name w:val="Знак Знак Знак"/>
    <w:basedOn w:val="a"/>
    <w:uiPriority w:val="99"/>
    <w:qFormat/>
    <w:rsid w:val="000B6DDE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ConsNormal">
    <w:name w:val="ConsNormal"/>
    <w:qFormat/>
    <w:rsid w:val="001A51A7"/>
    <w:pPr>
      <w:widowControl w:val="0"/>
      <w:ind w:right="19772" w:firstLine="720"/>
    </w:pPr>
    <w:rPr>
      <w:rFonts w:ascii="Arial" w:eastAsia="Times New Roman" w:hAnsi="Arial" w:cs="Arial"/>
    </w:rPr>
  </w:style>
  <w:style w:type="paragraph" w:customStyle="1" w:styleId="p3">
    <w:name w:val="p3"/>
    <w:basedOn w:val="a"/>
    <w:qFormat/>
    <w:rsid w:val="00A85921"/>
    <w:pPr>
      <w:spacing w:beforeAutospacing="1" w:afterAutospacing="1"/>
    </w:pPr>
    <w:rPr>
      <w:sz w:val="24"/>
      <w:szCs w:val="24"/>
    </w:rPr>
  </w:style>
  <w:style w:type="paragraph" w:customStyle="1" w:styleId="ConsPlusCell">
    <w:name w:val="ConsPlusCell"/>
    <w:qFormat/>
    <w:rsid w:val="00A85921"/>
    <w:pPr>
      <w:widowControl w:val="0"/>
    </w:pPr>
    <w:rPr>
      <w:rFonts w:ascii="Arial" w:eastAsia="Times New Roman" w:hAnsi="Arial" w:cs="Arial"/>
    </w:rPr>
  </w:style>
  <w:style w:type="paragraph" w:styleId="affe">
    <w:name w:val="endnote text"/>
    <w:basedOn w:val="a"/>
    <w:uiPriority w:val="99"/>
    <w:semiHidden/>
    <w:unhideWhenUsed/>
    <w:rsid w:val="00072C9B"/>
    <w:rPr>
      <w:sz w:val="20"/>
      <w:szCs w:val="20"/>
    </w:rPr>
  </w:style>
  <w:style w:type="paragraph" w:customStyle="1" w:styleId="210">
    <w:name w:val="Основной текст с отступом 21"/>
    <w:basedOn w:val="a"/>
    <w:qFormat/>
    <w:rsid w:val="00FF14D5"/>
    <w:pPr>
      <w:suppressAutoHyphens/>
      <w:spacing w:after="120" w:line="480" w:lineRule="auto"/>
      <w:ind w:left="283"/>
    </w:pPr>
    <w:rPr>
      <w:rFonts w:cs="Calibri"/>
      <w:lang w:eastAsia="ar-SA"/>
    </w:rPr>
  </w:style>
  <w:style w:type="paragraph" w:styleId="31">
    <w:name w:val="Body Text Indent 3"/>
    <w:basedOn w:val="a"/>
    <w:qFormat/>
    <w:pPr>
      <w:spacing w:after="120"/>
      <w:ind w:left="283"/>
    </w:pPr>
    <w:rPr>
      <w:sz w:val="16"/>
      <w:szCs w:val="16"/>
    </w:rPr>
  </w:style>
  <w:style w:type="paragraph" w:customStyle="1" w:styleId="30">
    <w:name w:val="Основной текст3"/>
    <w:basedOn w:val="a"/>
    <w:link w:val="af3"/>
    <w:qFormat/>
    <w:rsid w:val="00225369"/>
    <w:pPr>
      <w:shd w:val="clear" w:color="auto" w:fill="FFFFFF"/>
      <w:spacing w:line="322" w:lineRule="exact"/>
      <w:ind w:firstLine="700"/>
    </w:pPr>
    <w:rPr>
      <w:sz w:val="26"/>
      <w:szCs w:val="26"/>
    </w:rPr>
  </w:style>
  <w:style w:type="paragraph" w:customStyle="1" w:styleId="Caaieiaieiino">
    <w:name w:val="Caaieiaie_iino"/>
    <w:basedOn w:val="a"/>
    <w:qFormat/>
    <w:rsid w:val="004F5198"/>
    <w:pPr>
      <w:tabs>
        <w:tab w:val="left" w:pos="10440"/>
      </w:tabs>
      <w:ind w:left="720" w:right="4627"/>
    </w:pPr>
    <w:rPr>
      <w:sz w:val="26"/>
      <w:szCs w:val="20"/>
    </w:rPr>
  </w:style>
  <w:style w:type="paragraph" w:styleId="afff">
    <w:name w:val="annotation subject"/>
    <w:basedOn w:val="aff0"/>
    <w:next w:val="aff0"/>
    <w:uiPriority w:val="99"/>
    <w:semiHidden/>
    <w:unhideWhenUsed/>
    <w:qFormat/>
    <w:rsid w:val="0079129E"/>
    <w:rPr>
      <w:b/>
      <w:bCs/>
    </w:rPr>
  </w:style>
  <w:style w:type="paragraph" w:customStyle="1" w:styleId="announce-text">
    <w:name w:val="announce-text"/>
    <w:basedOn w:val="a"/>
    <w:qFormat/>
    <w:rsid w:val="002D5F60"/>
    <w:pPr>
      <w:spacing w:before="280" w:after="280"/>
    </w:pPr>
    <w:rPr>
      <w:rFonts w:cs="Calibri"/>
      <w:kern w:val="2"/>
      <w:sz w:val="24"/>
      <w:szCs w:val="24"/>
      <w:lang w:eastAsia="ar-SA"/>
    </w:rPr>
  </w:style>
  <w:style w:type="paragraph" w:customStyle="1" w:styleId="afff0">
    <w:name w:val="Содержимое врезки"/>
    <w:basedOn w:val="a"/>
    <w:qFormat/>
  </w:style>
  <w:style w:type="paragraph" w:customStyle="1" w:styleId="afff1">
    <w:name w:val="Содержимое таблицы"/>
    <w:basedOn w:val="a"/>
    <w:qFormat/>
    <w:pPr>
      <w:widowControl w:val="0"/>
      <w:suppressLineNumbers/>
    </w:pPr>
  </w:style>
  <w:style w:type="paragraph" w:customStyle="1" w:styleId="afff2">
    <w:name w:val="Заголовок таблицы"/>
    <w:basedOn w:val="afff1"/>
    <w:qFormat/>
    <w:pPr>
      <w:jc w:val="center"/>
    </w:pPr>
    <w:rPr>
      <w:b/>
      <w:bCs/>
    </w:rPr>
  </w:style>
  <w:style w:type="paragraph" w:customStyle="1" w:styleId="15">
    <w:name w:val="Обычный (веб)1"/>
    <w:basedOn w:val="a"/>
    <w:qFormat/>
    <w:pPr>
      <w:suppressAutoHyphens/>
      <w:spacing w:before="280" w:after="280"/>
    </w:pPr>
    <w:rPr>
      <w:sz w:val="24"/>
      <w:szCs w:val="24"/>
      <w:lang w:eastAsia="zh-CN"/>
    </w:rPr>
  </w:style>
  <w:style w:type="numbering" w:customStyle="1" w:styleId="WW8Num2">
    <w:name w:val="WW8Num2"/>
    <w:qFormat/>
  </w:style>
  <w:style w:type="table" w:styleId="afff3">
    <w:name w:val="Table Grid"/>
    <w:basedOn w:val="a3"/>
    <w:uiPriority w:val="39"/>
    <w:rsid w:val="009337C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">
    <w:name w:val="Сетка таблицы1"/>
    <w:basedOn w:val="a3"/>
    <w:uiPriority w:val="39"/>
    <w:rsid w:val="00CE528B"/>
    <w:pPr>
      <w:spacing w:before="100"/>
    </w:pPr>
    <w:rPr>
      <w:rFonts w:asciiTheme="minorHAnsi" w:eastAsiaTheme="minorEastAsia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">
    <w:name w:val="Сетка таблицы2"/>
    <w:basedOn w:val="a3"/>
    <w:uiPriority w:val="39"/>
    <w:rsid w:val="00CE528B"/>
    <w:pPr>
      <w:spacing w:before="100"/>
    </w:pPr>
    <w:rPr>
      <w:rFonts w:asciiTheme="minorHAnsi" w:eastAsiaTheme="minorEastAsia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">
    <w:name w:val="Сетка таблицы3"/>
    <w:basedOn w:val="a3"/>
    <w:uiPriority w:val="39"/>
    <w:rsid w:val="00CE528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3"/>
    <w:uiPriority w:val="39"/>
    <w:rsid w:val="00CE528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3"/>
    <w:uiPriority w:val="39"/>
    <w:rsid w:val="00CE528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">
    <w:name w:val="Сетка таблицы6"/>
    <w:basedOn w:val="a3"/>
    <w:uiPriority w:val="39"/>
    <w:rsid w:val="00CE528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">
    <w:name w:val="Сетка таблицы7"/>
    <w:basedOn w:val="a3"/>
    <w:uiPriority w:val="39"/>
    <w:rsid w:val="00CE528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">
    <w:name w:val="Сетка таблицы8"/>
    <w:basedOn w:val="a3"/>
    <w:uiPriority w:val="39"/>
    <w:rsid w:val="00CE528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">
    <w:name w:val="Сетка таблицы9"/>
    <w:basedOn w:val="a3"/>
    <w:uiPriority w:val="39"/>
    <w:rsid w:val="00CE528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0">
    <w:name w:val="Сетка таблицы10"/>
    <w:basedOn w:val="a3"/>
    <w:uiPriority w:val="39"/>
    <w:rsid w:val="00CE528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1825"/>
    <w:pPr>
      <w:suppressAutoHyphens w:val="0"/>
    </w:pPr>
    <w:rPr>
      <w:rFonts w:ascii="Times New Roman" w:eastAsia="Times New Roman" w:hAnsi="Times New Roman"/>
      <w:sz w:val="28"/>
      <w:szCs w:val="28"/>
    </w:rPr>
  </w:style>
  <w:style w:type="paragraph" w:styleId="1">
    <w:name w:val="heading 1"/>
    <w:basedOn w:val="a"/>
    <w:next w:val="a"/>
    <w:link w:val="10"/>
    <w:uiPriority w:val="99"/>
    <w:qFormat/>
    <w:rsid w:val="00BB0975"/>
    <w:pPr>
      <w:spacing w:before="108" w:after="108"/>
      <w:jc w:val="center"/>
      <w:outlineLvl w:val="0"/>
    </w:pPr>
    <w:rPr>
      <w:rFonts w:ascii="Arial" w:hAnsi="Arial" w:cs="Arial"/>
      <w:b/>
      <w:bCs/>
      <w:color w:val="000080"/>
      <w:sz w:val="20"/>
      <w:szCs w:val="20"/>
      <w:lang w:eastAsia="en-US"/>
    </w:rPr>
  </w:style>
  <w:style w:type="paragraph" w:styleId="2">
    <w:name w:val="heading 2"/>
    <w:basedOn w:val="a0"/>
    <w:next w:val="a1"/>
    <w:link w:val="20"/>
    <w:qFormat/>
    <w:pPr>
      <w:numPr>
        <w:ilvl w:val="1"/>
        <w:numId w:val="1"/>
      </w:numPr>
      <w:spacing w:before="200"/>
      <w:outlineLvl w:val="1"/>
    </w:pPr>
    <w:rPr>
      <w:rFonts w:ascii="Liberation Serif" w:eastAsia="Segoe UI" w:hAnsi="Liberation Serif" w:cs="Tahoma"/>
      <w:b/>
      <w:bCs/>
      <w:sz w:val="36"/>
      <w:szCs w:val="3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-">
    <w:name w:val="Интернет-ссылка"/>
    <w:basedOn w:val="a2"/>
    <w:uiPriority w:val="99"/>
    <w:unhideWhenUsed/>
    <w:rsid w:val="00ED5F27"/>
    <w:rPr>
      <w:color w:val="0000FF"/>
      <w:u w:val="single"/>
    </w:rPr>
  </w:style>
  <w:style w:type="character" w:customStyle="1" w:styleId="a5">
    <w:name w:val="Основной текст с отступом Знак"/>
    <w:basedOn w:val="a2"/>
    <w:qFormat/>
    <w:rsid w:val="006C4E7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annotation reference"/>
    <w:basedOn w:val="a2"/>
    <w:uiPriority w:val="99"/>
    <w:semiHidden/>
    <w:unhideWhenUsed/>
    <w:qFormat/>
    <w:rsid w:val="006C4E78"/>
    <w:rPr>
      <w:sz w:val="16"/>
      <w:szCs w:val="16"/>
    </w:rPr>
  </w:style>
  <w:style w:type="character" w:customStyle="1" w:styleId="a7">
    <w:name w:val="Текст примечания Знак"/>
    <w:basedOn w:val="a2"/>
    <w:uiPriority w:val="99"/>
    <w:semiHidden/>
    <w:qFormat/>
    <w:rsid w:val="006C4E7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8">
    <w:name w:val="Текст выноски Знак"/>
    <w:basedOn w:val="a2"/>
    <w:uiPriority w:val="99"/>
    <w:semiHidden/>
    <w:qFormat/>
    <w:rsid w:val="006C4E7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9">
    <w:name w:val="Верхний колонтитул Знак"/>
    <w:basedOn w:val="a2"/>
    <w:qFormat/>
    <w:rsid w:val="00F23F4F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a">
    <w:name w:val="Нижний колонтитул Знак"/>
    <w:basedOn w:val="a2"/>
    <w:uiPriority w:val="99"/>
    <w:qFormat/>
    <w:rsid w:val="00F23F4F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b">
    <w:name w:val="Название Знак"/>
    <w:basedOn w:val="a2"/>
    <w:qFormat/>
    <w:rsid w:val="00343753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BodyTextIndentChar">
    <w:name w:val="Body Text Indent Char"/>
    <w:basedOn w:val="a2"/>
    <w:link w:val="11"/>
    <w:qFormat/>
    <w:rsid w:val="00465ACB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c">
    <w:name w:val="Ст. без интервала Знак"/>
    <w:qFormat/>
    <w:rsid w:val="007B2D15"/>
    <w:rPr>
      <w:rFonts w:ascii="Times New Roman" w:eastAsia="Calibri" w:hAnsi="Times New Roman" w:cs="Times New Roman"/>
      <w:sz w:val="28"/>
      <w:szCs w:val="28"/>
    </w:rPr>
  </w:style>
  <w:style w:type="character" w:customStyle="1" w:styleId="ad">
    <w:name w:val="Основной текст Знак"/>
    <w:basedOn w:val="a2"/>
    <w:qFormat/>
    <w:rsid w:val="00B0490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2"/>
    <w:link w:val="1"/>
    <w:uiPriority w:val="99"/>
    <w:qFormat/>
    <w:rsid w:val="00BB0975"/>
    <w:rPr>
      <w:rFonts w:ascii="Arial" w:eastAsia="Times New Roman" w:hAnsi="Arial" w:cs="Arial"/>
      <w:b/>
      <w:bCs/>
      <w:color w:val="000080"/>
      <w:sz w:val="20"/>
      <w:szCs w:val="20"/>
    </w:rPr>
  </w:style>
  <w:style w:type="character" w:customStyle="1" w:styleId="ae">
    <w:name w:val="Текст сноски Знак"/>
    <w:basedOn w:val="a2"/>
    <w:uiPriority w:val="99"/>
    <w:semiHidden/>
    <w:qFormat/>
    <w:rsid w:val="00416E76"/>
    <w:rPr>
      <w:rFonts w:ascii="Times New Roman" w:eastAsia="Times New Roman" w:hAnsi="Times New Roman"/>
    </w:rPr>
  </w:style>
  <w:style w:type="character" w:customStyle="1" w:styleId="af">
    <w:name w:val="Привязка сноски"/>
    <w:rPr>
      <w:vertAlign w:val="superscript"/>
    </w:rPr>
  </w:style>
  <w:style w:type="character" w:customStyle="1" w:styleId="FootnoteCharacters">
    <w:name w:val="Footnote Characters"/>
    <w:basedOn w:val="a2"/>
    <w:uiPriority w:val="99"/>
    <w:semiHidden/>
    <w:unhideWhenUsed/>
    <w:qFormat/>
    <w:rsid w:val="00416E76"/>
    <w:rPr>
      <w:vertAlign w:val="superscript"/>
    </w:rPr>
  </w:style>
  <w:style w:type="character" w:styleId="af0">
    <w:name w:val="Emphasis"/>
    <w:qFormat/>
    <w:rsid w:val="001A68A9"/>
    <w:rPr>
      <w:i/>
      <w:iCs/>
    </w:rPr>
  </w:style>
  <w:style w:type="character" w:customStyle="1" w:styleId="20">
    <w:name w:val="Заголовок 2 Знак"/>
    <w:basedOn w:val="a2"/>
    <w:link w:val="2"/>
    <w:qFormat/>
    <w:rsid w:val="00BA591E"/>
    <w:rPr>
      <w:rFonts w:ascii="Times New Roman" w:eastAsia="Times New Roman" w:hAnsi="Times New Roman"/>
      <w:sz w:val="28"/>
      <w:szCs w:val="28"/>
    </w:rPr>
  </w:style>
  <w:style w:type="character" w:customStyle="1" w:styleId="s7">
    <w:name w:val="s7"/>
    <w:basedOn w:val="a2"/>
    <w:qFormat/>
    <w:rsid w:val="00A85921"/>
  </w:style>
  <w:style w:type="character" w:customStyle="1" w:styleId="af1">
    <w:name w:val="Текст концевой сноски Знак"/>
    <w:basedOn w:val="a2"/>
    <w:uiPriority w:val="99"/>
    <w:semiHidden/>
    <w:qFormat/>
    <w:rsid w:val="00072C9B"/>
    <w:rPr>
      <w:rFonts w:ascii="Times New Roman" w:eastAsia="Times New Roman" w:hAnsi="Times New Roman"/>
    </w:rPr>
  </w:style>
  <w:style w:type="character" w:customStyle="1" w:styleId="af2">
    <w:name w:val="Привязка концевой сноски"/>
    <w:rPr>
      <w:vertAlign w:val="superscript"/>
    </w:rPr>
  </w:style>
  <w:style w:type="character" w:customStyle="1" w:styleId="EndnoteCharacters">
    <w:name w:val="Endnote Characters"/>
    <w:basedOn w:val="a2"/>
    <w:uiPriority w:val="99"/>
    <w:semiHidden/>
    <w:unhideWhenUsed/>
    <w:qFormat/>
    <w:rsid w:val="00072C9B"/>
    <w:rPr>
      <w:vertAlign w:val="superscript"/>
    </w:rPr>
  </w:style>
  <w:style w:type="character" w:customStyle="1" w:styleId="3">
    <w:name w:val="Основной текст с отступом 3 Знак"/>
    <w:basedOn w:val="a2"/>
    <w:link w:val="3"/>
    <w:uiPriority w:val="99"/>
    <w:semiHidden/>
    <w:qFormat/>
    <w:rsid w:val="00225369"/>
    <w:rPr>
      <w:rFonts w:ascii="Times New Roman" w:eastAsia="Times New Roman" w:hAnsi="Times New Roman"/>
      <w:sz w:val="16"/>
      <w:szCs w:val="16"/>
    </w:rPr>
  </w:style>
  <w:style w:type="character" w:customStyle="1" w:styleId="af3">
    <w:name w:val="Основной текст_"/>
    <w:link w:val="30"/>
    <w:qFormat/>
    <w:rsid w:val="00225369"/>
    <w:rPr>
      <w:rFonts w:ascii="Times New Roman" w:eastAsia="Times New Roman" w:hAnsi="Times New Roman"/>
      <w:sz w:val="26"/>
      <w:szCs w:val="26"/>
      <w:shd w:val="clear" w:color="auto" w:fill="FFFFFF"/>
    </w:rPr>
  </w:style>
  <w:style w:type="character" w:customStyle="1" w:styleId="11">
    <w:name w:val="Основной текст1"/>
    <w:link w:val="BodyTextIndentChar"/>
    <w:qFormat/>
    <w:rsid w:val="00225369"/>
  </w:style>
  <w:style w:type="character" w:customStyle="1" w:styleId="af4">
    <w:name w:val="Без интервала Знак"/>
    <w:basedOn w:val="a2"/>
    <w:uiPriority w:val="1"/>
    <w:qFormat/>
    <w:rsid w:val="008B013B"/>
    <w:rPr>
      <w:rFonts w:ascii="Times New Roman" w:hAnsi="Times New Roman"/>
      <w:lang w:eastAsia="en-US"/>
    </w:rPr>
  </w:style>
  <w:style w:type="character" w:customStyle="1" w:styleId="af5">
    <w:name w:val="Тема примечания Знак"/>
    <w:basedOn w:val="a7"/>
    <w:uiPriority w:val="99"/>
    <w:semiHidden/>
    <w:qFormat/>
    <w:rsid w:val="0079129E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af6">
    <w:name w:val="Посещённая гиперссылка"/>
    <w:basedOn w:val="a2"/>
    <w:uiPriority w:val="99"/>
    <w:semiHidden/>
    <w:unhideWhenUsed/>
    <w:rsid w:val="003B7CD0"/>
    <w:rPr>
      <w:color w:val="7F6F6F" w:themeColor="followedHyperlink"/>
      <w:u w:val="single"/>
    </w:rPr>
  </w:style>
  <w:style w:type="character" w:customStyle="1" w:styleId="af7">
    <w:name w:val="Символ сноски"/>
    <w:qFormat/>
  </w:style>
  <w:style w:type="character" w:customStyle="1" w:styleId="af8">
    <w:name w:val="Символ концевой сноски"/>
    <w:qFormat/>
  </w:style>
  <w:style w:type="character" w:customStyle="1" w:styleId="af9">
    <w:name w:val="Маркеры"/>
    <w:qFormat/>
    <w:rPr>
      <w:rFonts w:ascii="OpenSymbol" w:eastAsia="OpenSymbol" w:hAnsi="OpenSymbol" w:cs="OpenSymbol"/>
    </w:rPr>
  </w:style>
  <w:style w:type="character" w:customStyle="1" w:styleId="afa">
    <w:name w:val="Символ нумерации"/>
    <w:qFormat/>
  </w:style>
  <w:style w:type="character" w:customStyle="1" w:styleId="cs51e4b11d">
    <w:name w:val="cs51e4b11d"/>
    <w:basedOn w:val="a2"/>
    <w:qFormat/>
  </w:style>
  <w:style w:type="character" w:customStyle="1" w:styleId="FontStyle21">
    <w:name w:val="Font Style21"/>
    <w:qFormat/>
    <w:rPr>
      <w:rFonts w:ascii="Times New Roman" w:hAnsi="Times New Roman" w:cs="Times New Roman"/>
      <w:sz w:val="28"/>
      <w:szCs w:val="28"/>
    </w:rPr>
  </w:style>
  <w:style w:type="character" w:customStyle="1" w:styleId="WW8Num2z0">
    <w:name w:val="WW8Num2z0"/>
    <w:qFormat/>
    <w:rPr>
      <w:rFonts w:eastAsia="Times New Roman" w:cs="Times New Roman"/>
      <w:b w:val="0"/>
      <w:bCs w:val="0"/>
      <w:i w:val="0"/>
      <w:iCs w:val="0"/>
      <w:color w:val="000000"/>
      <w:spacing w:val="2"/>
      <w:sz w:val="28"/>
      <w:szCs w:val="30"/>
      <w:lang w:val="ru-RU" w:eastAsia="ru-RU" w:bidi="ar-SA"/>
    </w:rPr>
  </w:style>
  <w:style w:type="character" w:customStyle="1" w:styleId="WW8Num2z1">
    <w:name w:val="WW8Num2z1"/>
    <w:qFormat/>
    <w:rPr>
      <w:rFonts w:eastAsia="Times New Roman" w:cs="Times New Roman"/>
      <w:b w:val="0"/>
      <w:bCs w:val="0"/>
      <w:color w:val="000000"/>
      <w:sz w:val="28"/>
      <w:szCs w:val="28"/>
      <w:lang w:val="ru-RU" w:eastAsia="zh-CN" w:bidi="ar-SA"/>
    </w:rPr>
  </w:style>
  <w:style w:type="paragraph" w:customStyle="1" w:styleId="a0">
    <w:name w:val="Заголовок"/>
    <w:basedOn w:val="a"/>
    <w:next w:val="a1"/>
    <w:qFormat/>
    <w:pPr>
      <w:keepNext/>
      <w:spacing w:before="240" w:after="120"/>
    </w:pPr>
    <w:rPr>
      <w:rFonts w:ascii="Liberation Sans" w:eastAsia="Microsoft YaHei" w:hAnsi="Liberation Sans" w:cs="Arial"/>
    </w:rPr>
  </w:style>
  <w:style w:type="paragraph" w:styleId="a1">
    <w:name w:val="Body Text"/>
    <w:basedOn w:val="a"/>
    <w:rsid w:val="00B04902"/>
    <w:pPr>
      <w:spacing w:after="120"/>
    </w:pPr>
    <w:rPr>
      <w:sz w:val="24"/>
      <w:szCs w:val="24"/>
    </w:rPr>
  </w:style>
  <w:style w:type="paragraph" w:styleId="afb">
    <w:name w:val="List"/>
    <w:basedOn w:val="a1"/>
    <w:rPr>
      <w:rFonts w:cs="Arial"/>
    </w:rPr>
  </w:style>
  <w:style w:type="paragraph" w:styleId="afc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fd">
    <w:name w:val="index heading"/>
    <w:basedOn w:val="a"/>
    <w:qFormat/>
    <w:pPr>
      <w:suppressLineNumbers/>
    </w:pPr>
    <w:rPr>
      <w:rFonts w:cs="Arial"/>
    </w:rPr>
  </w:style>
  <w:style w:type="paragraph" w:styleId="afe">
    <w:name w:val="Normal (Web)"/>
    <w:basedOn w:val="a"/>
    <w:qFormat/>
    <w:pPr>
      <w:spacing w:before="280" w:after="280"/>
    </w:pPr>
  </w:style>
  <w:style w:type="paragraph" w:styleId="aff">
    <w:name w:val="Body Text Indent"/>
    <w:basedOn w:val="a"/>
    <w:unhideWhenUsed/>
    <w:rsid w:val="006C4E78"/>
    <w:pPr>
      <w:spacing w:after="120"/>
      <w:ind w:left="283"/>
    </w:pPr>
    <w:rPr>
      <w:sz w:val="24"/>
      <w:szCs w:val="24"/>
    </w:rPr>
  </w:style>
  <w:style w:type="paragraph" w:customStyle="1" w:styleId="BodyText21">
    <w:name w:val="Body Text 21"/>
    <w:basedOn w:val="a"/>
    <w:uiPriority w:val="99"/>
    <w:qFormat/>
    <w:rsid w:val="006C4E78"/>
    <w:pPr>
      <w:widowControl w:val="0"/>
    </w:pPr>
    <w:rPr>
      <w:spacing w:val="-2"/>
      <w:sz w:val="24"/>
      <w:szCs w:val="20"/>
      <w:lang w:val="de-DE"/>
    </w:rPr>
  </w:style>
  <w:style w:type="paragraph" w:customStyle="1" w:styleId="ConsPlusNonformat">
    <w:name w:val="ConsPlusNonformat"/>
    <w:uiPriority w:val="99"/>
    <w:qFormat/>
    <w:rsid w:val="006C4E78"/>
    <w:rPr>
      <w:rFonts w:ascii="Courier New" w:eastAsia="Times New Roman" w:hAnsi="Courier New" w:cs="Courier New"/>
    </w:rPr>
  </w:style>
  <w:style w:type="paragraph" w:styleId="aff0">
    <w:name w:val="annotation text"/>
    <w:basedOn w:val="a"/>
    <w:uiPriority w:val="99"/>
    <w:semiHidden/>
    <w:unhideWhenUsed/>
    <w:qFormat/>
    <w:rsid w:val="006C4E78"/>
    <w:rPr>
      <w:sz w:val="20"/>
      <w:szCs w:val="20"/>
    </w:rPr>
  </w:style>
  <w:style w:type="paragraph" w:styleId="aff1">
    <w:name w:val="Balloon Text"/>
    <w:basedOn w:val="a"/>
    <w:uiPriority w:val="99"/>
    <w:semiHidden/>
    <w:unhideWhenUsed/>
    <w:qFormat/>
    <w:rsid w:val="006C4E78"/>
    <w:rPr>
      <w:rFonts w:ascii="Tahoma" w:hAnsi="Tahoma" w:cs="Tahoma"/>
      <w:sz w:val="16"/>
      <w:szCs w:val="16"/>
    </w:rPr>
  </w:style>
  <w:style w:type="paragraph" w:customStyle="1" w:styleId="aff2">
    <w:name w:val="Верхний и нижний колонтитулы"/>
    <w:basedOn w:val="a"/>
    <w:qFormat/>
  </w:style>
  <w:style w:type="paragraph" w:styleId="aff3">
    <w:name w:val="header"/>
    <w:basedOn w:val="a"/>
    <w:unhideWhenUsed/>
    <w:rsid w:val="00F23F4F"/>
    <w:pPr>
      <w:tabs>
        <w:tab w:val="center" w:pos="4677"/>
        <w:tab w:val="right" w:pos="9355"/>
      </w:tabs>
    </w:pPr>
  </w:style>
  <w:style w:type="paragraph" w:styleId="aff4">
    <w:name w:val="footer"/>
    <w:basedOn w:val="a"/>
    <w:uiPriority w:val="99"/>
    <w:unhideWhenUsed/>
    <w:rsid w:val="00F23F4F"/>
    <w:pPr>
      <w:tabs>
        <w:tab w:val="center" w:pos="4677"/>
        <w:tab w:val="right" w:pos="9355"/>
      </w:tabs>
    </w:pPr>
  </w:style>
  <w:style w:type="paragraph" w:styleId="aff5">
    <w:name w:val="Title"/>
    <w:basedOn w:val="a"/>
    <w:qFormat/>
    <w:rsid w:val="00343753"/>
    <w:pPr>
      <w:jc w:val="center"/>
    </w:pPr>
    <w:rPr>
      <w:b/>
      <w:bCs/>
      <w:sz w:val="24"/>
      <w:szCs w:val="24"/>
    </w:rPr>
  </w:style>
  <w:style w:type="paragraph" w:styleId="aff6">
    <w:name w:val="No Spacing"/>
    <w:uiPriority w:val="1"/>
    <w:qFormat/>
    <w:rsid w:val="00343753"/>
    <w:pPr>
      <w:widowControl w:val="0"/>
    </w:pPr>
    <w:rPr>
      <w:rFonts w:ascii="Times New Roman" w:hAnsi="Times New Roman"/>
      <w:lang w:eastAsia="en-US"/>
    </w:rPr>
  </w:style>
  <w:style w:type="paragraph" w:styleId="aff7">
    <w:name w:val="List Paragraph"/>
    <w:basedOn w:val="a"/>
    <w:uiPriority w:val="34"/>
    <w:qFormat/>
    <w:rsid w:val="00343753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12">
    <w:name w:val="Абзац списка1"/>
    <w:basedOn w:val="a"/>
    <w:qFormat/>
    <w:rsid w:val="00343753"/>
    <w:pPr>
      <w:widowControl w:val="0"/>
      <w:suppressAutoHyphens/>
      <w:spacing w:after="200" w:line="276" w:lineRule="auto"/>
      <w:ind w:left="720"/>
    </w:pPr>
    <w:rPr>
      <w:rFonts w:ascii="Calibri" w:hAnsi="Calibri" w:cs="Calibri"/>
      <w:sz w:val="22"/>
      <w:szCs w:val="22"/>
      <w:lang w:eastAsia="ar-SA"/>
    </w:rPr>
  </w:style>
  <w:style w:type="paragraph" w:customStyle="1" w:styleId="ConsPlusNormal">
    <w:name w:val="ConsPlusNormal"/>
    <w:qFormat/>
    <w:rsid w:val="00465ACB"/>
    <w:pPr>
      <w:widowControl w:val="0"/>
      <w:ind w:firstLine="720"/>
    </w:pPr>
    <w:rPr>
      <w:rFonts w:ascii="Arial" w:eastAsia="Times New Roman" w:hAnsi="Arial" w:cs="Arial"/>
    </w:rPr>
  </w:style>
  <w:style w:type="paragraph" w:customStyle="1" w:styleId="13">
    <w:name w:val="Основной текст с отступом1"/>
    <w:basedOn w:val="a"/>
    <w:qFormat/>
    <w:rsid w:val="00465ACB"/>
    <w:pPr>
      <w:spacing w:after="120"/>
      <w:ind w:left="283"/>
    </w:pPr>
    <w:rPr>
      <w:sz w:val="24"/>
      <w:szCs w:val="24"/>
    </w:rPr>
  </w:style>
  <w:style w:type="paragraph" w:customStyle="1" w:styleId="110">
    <w:name w:val="Знак1 Знак Знак Знак Знак Знак1 Знак"/>
    <w:basedOn w:val="a"/>
    <w:qFormat/>
    <w:rsid w:val="007B2D15"/>
    <w:pPr>
      <w:spacing w:after="160"/>
    </w:pPr>
    <w:rPr>
      <w:sz w:val="24"/>
      <w:szCs w:val="24"/>
      <w:lang w:val="en-US" w:eastAsia="en-US"/>
    </w:rPr>
  </w:style>
  <w:style w:type="paragraph" w:customStyle="1" w:styleId="aff8">
    <w:name w:val="Ст. без интервала"/>
    <w:basedOn w:val="a"/>
    <w:qFormat/>
    <w:rsid w:val="007B2D15"/>
    <w:rPr>
      <w:rFonts w:eastAsia="Calibri"/>
    </w:rPr>
  </w:style>
  <w:style w:type="paragraph" w:customStyle="1" w:styleId="Default">
    <w:name w:val="Default"/>
    <w:qFormat/>
    <w:rsid w:val="00C943D1"/>
    <w:rPr>
      <w:rFonts w:ascii="Times New Roman" w:hAnsi="Times New Roman"/>
      <w:color w:val="000000"/>
      <w:sz w:val="24"/>
      <w:szCs w:val="24"/>
      <w:lang w:eastAsia="en-US"/>
    </w:rPr>
  </w:style>
  <w:style w:type="paragraph" w:customStyle="1" w:styleId="aff9">
    <w:name w:val="Нормальный (таблица)"/>
    <w:basedOn w:val="a"/>
    <w:next w:val="a"/>
    <w:qFormat/>
    <w:rsid w:val="00B04902"/>
    <w:pPr>
      <w:widowControl w:val="0"/>
    </w:pPr>
    <w:rPr>
      <w:rFonts w:ascii="Arial" w:hAnsi="Arial" w:cs="Arial"/>
      <w:sz w:val="24"/>
      <w:szCs w:val="24"/>
    </w:rPr>
  </w:style>
  <w:style w:type="paragraph" w:customStyle="1" w:styleId="affa">
    <w:name w:val="Прижатый влево"/>
    <w:basedOn w:val="a"/>
    <w:next w:val="a"/>
    <w:uiPriority w:val="99"/>
    <w:qFormat/>
    <w:rsid w:val="00B04902"/>
    <w:rPr>
      <w:rFonts w:ascii="Arial" w:eastAsia="Calibri" w:hAnsi="Arial" w:cs="Arial"/>
      <w:sz w:val="24"/>
      <w:szCs w:val="24"/>
    </w:rPr>
  </w:style>
  <w:style w:type="paragraph" w:styleId="affb">
    <w:name w:val="footnote text"/>
    <w:basedOn w:val="a"/>
    <w:uiPriority w:val="99"/>
    <w:semiHidden/>
    <w:unhideWhenUsed/>
    <w:rsid w:val="00416E76"/>
    <w:rPr>
      <w:sz w:val="20"/>
      <w:szCs w:val="20"/>
    </w:rPr>
  </w:style>
  <w:style w:type="paragraph" w:styleId="21">
    <w:name w:val="Body Text Indent 2"/>
    <w:basedOn w:val="a"/>
    <w:unhideWhenUsed/>
    <w:qFormat/>
    <w:rsid w:val="00BA591E"/>
    <w:pPr>
      <w:spacing w:after="120" w:line="480" w:lineRule="auto"/>
      <w:ind w:left="283"/>
    </w:pPr>
  </w:style>
  <w:style w:type="paragraph" w:customStyle="1" w:styleId="14">
    <w:name w:val="Знак Знак Знак1"/>
    <w:basedOn w:val="a"/>
    <w:qFormat/>
    <w:rsid w:val="00EE4AEA"/>
    <w:pPr>
      <w:spacing w:beforeAutospacing="1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affc">
    <w:name w:val="Знак Знак Знак Знак Знак Знак Знак Знак Знак Знак Знак Знак Знак Знак Знак Знак"/>
    <w:basedOn w:val="a"/>
    <w:qFormat/>
    <w:rsid w:val="00A8011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affd">
    <w:name w:val="Знак Знак Знак"/>
    <w:basedOn w:val="a"/>
    <w:uiPriority w:val="99"/>
    <w:qFormat/>
    <w:rsid w:val="000B6DDE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ConsNormal">
    <w:name w:val="ConsNormal"/>
    <w:qFormat/>
    <w:rsid w:val="001A51A7"/>
    <w:pPr>
      <w:widowControl w:val="0"/>
      <w:ind w:right="19772" w:firstLine="720"/>
    </w:pPr>
    <w:rPr>
      <w:rFonts w:ascii="Arial" w:eastAsia="Times New Roman" w:hAnsi="Arial" w:cs="Arial"/>
    </w:rPr>
  </w:style>
  <w:style w:type="paragraph" w:customStyle="1" w:styleId="p3">
    <w:name w:val="p3"/>
    <w:basedOn w:val="a"/>
    <w:qFormat/>
    <w:rsid w:val="00A85921"/>
    <w:pPr>
      <w:spacing w:beforeAutospacing="1" w:afterAutospacing="1"/>
    </w:pPr>
    <w:rPr>
      <w:sz w:val="24"/>
      <w:szCs w:val="24"/>
    </w:rPr>
  </w:style>
  <w:style w:type="paragraph" w:customStyle="1" w:styleId="ConsPlusCell">
    <w:name w:val="ConsPlusCell"/>
    <w:qFormat/>
    <w:rsid w:val="00A85921"/>
    <w:pPr>
      <w:widowControl w:val="0"/>
    </w:pPr>
    <w:rPr>
      <w:rFonts w:ascii="Arial" w:eastAsia="Times New Roman" w:hAnsi="Arial" w:cs="Arial"/>
    </w:rPr>
  </w:style>
  <w:style w:type="paragraph" w:styleId="affe">
    <w:name w:val="endnote text"/>
    <w:basedOn w:val="a"/>
    <w:uiPriority w:val="99"/>
    <w:semiHidden/>
    <w:unhideWhenUsed/>
    <w:rsid w:val="00072C9B"/>
    <w:rPr>
      <w:sz w:val="20"/>
      <w:szCs w:val="20"/>
    </w:rPr>
  </w:style>
  <w:style w:type="paragraph" w:customStyle="1" w:styleId="210">
    <w:name w:val="Основной текст с отступом 21"/>
    <w:basedOn w:val="a"/>
    <w:qFormat/>
    <w:rsid w:val="00FF14D5"/>
    <w:pPr>
      <w:suppressAutoHyphens/>
      <w:spacing w:after="120" w:line="480" w:lineRule="auto"/>
      <w:ind w:left="283"/>
    </w:pPr>
    <w:rPr>
      <w:rFonts w:cs="Calibri"/>
      <w:lang w:eastAsia="ar-SA"/>
    </w:rPr>
  </w:style>
  <w:style w:type="paragraph" w:styleId="31">
    <w:name w:val="Body Text Indent 3"/>
    <w:basedOn w:val="a"/>
    <w:qFormat/>
    <w:pPr>
      <w:spacing w:after="120"/>
      <w:ind w:left="283"/>
    </w:pPr>
    <w:rPr>
      <w:sz w:val="16"/>
      <w:szCs w:val="16"/>
    </w:rPr>
  </w:style>
  <w:style w:type="paragraph" w:customStyle="1" w:styleId="30">
    <w:name w:val="Основной текст3"/>
    <w:basedOn w:val="a"/>
    <w:link w:val="af3"/>
    <w:qFormat/>
    <w:rsid w:val="00225369"/>
    <w:pPr>
      <w:shd w:val="clear" w:color="auto" w:fill="FFFFFF"/>
      <w:spacing w:line="322" w:lineRule="exact"/>
      <w:ind w:firstLine="700"/>
    </w:pPr>
    <w:rPr>
      <w:sz w:val="26"/>
      <w:szCs w:val="26"/>
    </w:rPr>
  </w:style>
  <w:style w:type="paragraph" w:customStyle="1" w:styleId="Caaieiaieiino">
    <w:name w:val="Caaieiaie_iino"/>
    <w:basedOn w:val="a"/>
    <w:qFormat/>
    <w:rsid w:val="004F5198"/>
    <w:pPr>
      <w:tabs>
        <w:tab w:val="left" w:pos="10440"/>
      </w:tabs>
      <w:ind w:left="720" w:right="4627"/>
    </w:pPr>
    <w:rPr>
      <w:sz w:val="26"/>
      <w:szCs w:val="20"/>
    </w:rPr>
  </w:style>
  <w:style w:type="paragraph" w:styleId="afff">
    <w:name w:val="annotation subject"/>
    <w:basedOn w:val="aff0"/>
    <w:next w:val="aff0"/>
    <w:uiPriority w:val="99"/>
    <w:semiHidden/>
    <w:unhideWhenUsed/>
    <w:qFormat/>
    <w:rsid w:val="0079129E"/>
    <w:rPr>
      <w:b/>
      <w:bCs/>
    </w:rPr>
  </w:style>
  <w:style w:type="paragraph" w:customStyle="1" w:styleId="announce-text">
    <w:name w:val="announce-text"/>
    <w:basedOn w:val="a"/>
    <w:qFormat/>
    <w:rsid w:val="002D5F60"/>
    <w:pPr>
      <w:spacing w:before="280" w:after="280"/>
    </w:pPr>
    <w:rPr>
      <w:rFonts w:cs="Calibri"/>
      <w:kern w:val="2"/>
      <w:sz w:val="24"/>
      <w:szCs w:val="24"/>
      <w:lang w:eastAsia="ar-SA"/>
    </w:rPr>
  </w:style>
  <w:style w:type="paragraph" w:customStyle="1" w:styleId="afff0">
    <w:name w:val="Содержимое врезки"/>
    <w:basedOn w:val="a"/>
    <w:qFormat/>
  </w:style>
  <w:style w:type="paragraph" w:customStyle="1" w:styleId="afff1">
    <w:name w:val="Содержимое таблицы"/>
    <w:basedOn w:val="a"/>
    <w:qFormat/>
    <w:pPr>
      <w:widowControl w:val="0"/>
      <w:suppressLineNumbers/>
    </w:pPr>
  </w:style>
  <w:style w:type="paragraph" w:customStyle="1" w:styleId="afff2">
    <w:name w:val="Заголовок таблицы"/>
    <w:basedOn w:val="afff1"/>
    <w:qFormat/>
    <w:pPr>
      <w:jc w:val="center"/>
    </w:pPr>
    <w:rPr>
      <w:b/>
      <w:bCs/>
    </w:rPr>
  </w:style>
  <w:style w:type="paragraph" w:customStyle="1" w:styleId="15">
    <w:name w:val="Обычный (веб)1"/>
    <w:basedOn w:val="a"/>
    <w:qFormat/>
    <w:pPr>
      <w:suppressAutoHyphens/>
      <w:spacing w:before="280" w:after="280"/>
    </w:pPr>
    <w:rPr>
      <w:sz w:val="24"/>
      <w:szCs w:val="24"/>
      <w:lang w:eastAsia="zh-CN"/>
    </w:rPr>
  </w:style>
  <w:style w:type="numbering" w:customStyle="1" w:styleId="WW8Num2">
    <w:name w:val="WW8Num2"/>
    <w:qFormat/>
  </w:style>
  <w:style w:type="table" w:styleId="afff3">
    <w:name w:val="Table Grid"/>
    <w:basedOn w:val="a3"/>
    <w:uiPriority w:val="39"/>
    <w:rsid w:val="009337C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">
    <w:name w:val="Сетка таблицы1"/>
    <w:basedOn w:val="a3"/>
    <w:uiPriority w:val="39"/>
    <w:rsid w:val="00CE528B"/>
    <w:pPr>
      <w:spacing w:before="100"/>
    </w:pPr>
    <w:rPr>
      <w:rFonts w:asciiTheme="minorHAnsi" w:eastAsiaTheme="minorEastAsia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">
    <w:name w:val="Сетка таблицы2"/>
    <w:basedOn w:val="a3"/>
    <w:uiPriority w:val="39"/>
    <w:rsid w:val="00CE528B"/>
    <w:pPr>
      <w:spacing w:before="100"/>
    </w:pPr>
    <w:rPr>
      <w:rFonts w:asciiTheme="minorHAnsi" w:eastAsiaTheme="minorEastAsia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">
    <w:name w:val="Сетка таблицы3"/>
    <w:basedOn w:val="a3"/>
    <w:uiPriority w:val="39"/>
    <w:rsid w:val="00CE528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3"/>
    <w:uiPriority w:val="39"/>
    <w:rsid w:val="00CE528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3"/>
    <w:uiPriority w:val="39"/>
    <w:rsid w:val="00CE528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">
    <w:name w:val="Сетка таблицы6"/>
    <w:basedOn w:val="a3"/>
    <w:uiPriority w:val="39"/>
    <w:rsid w:val="00CE528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">
    <w:name w:val="Сетка таблицы7"/>
    <w:basedOn w:val="a3"/>
    <w:uiPriority w:val="39"/>
    <w:rsid w:val="00CE528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">
    <w:name w:val="Сетка таблицы8"/>
    <w:basedOn w:val="a3"/>
    <w:uiPriority w:val="39"/>
    <w:rsid w:val="00CE528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">
    <w:name w:val="Сетка таблицы9"/>
    <w:basedOn w:val="a3"/>
    <w:uiPriority w:val="39"/>
    <w:rsid w:val="00CE528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0">
    <w:name w:val="Сетка таблицы10"/>
    <w:basedOn w:val="a3"/>
    <w:uiPriority w:val="39"/>
    <w:rsid w:val="00CE528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klinci.ru/" TargetMode="External"/><Relationship Id="rId18" Type="http://schemas.openxmlformats.org/officeDocument/2006/relationships/hyperlink" Target="http://www.admsel.ru/" TargetMode="External"/><Relationship Id="rId26" Type="http://schemas.openxmlformats.org/officeDocument/2006/relationships/image" Target="media/image12.jpeg"/><Relationship Id="rId39" Type="http://schemas.openxmlformats.org/officeDocument/2006/relationships/hyperlink" Target="http://www.juratino.ru/" TargetMode="External"/><Relationship Id="rId21" Type="http://schemas.openxmlformats.org/officeDocument/2006/relationships/image" Target="media/image9.jpeg"/><Relationship Id="rId34" Type="http://schemas.openxmlformats.org/officeDocument/2006/relationships/hyperlink" Target="http://www.admdubrovka.ru/" TargetMode="External"/><Relationship Id="rId42" Type="http://schemas.openxmlformats.org/officeDocument/2006/relationships/image" Target="media/image22.jpeg"/><Relationship Id="rId47" Type="http://schemas.openxmlformats.org/officeDocument/2006/relationships/image" Target="media/image240.jpeg"/><Relationship Id="rId50" Type="http://schemas.openxmlformats.org/officeDocument/2006/relationships/image" Target="media/image26.jpeg"/><Relationship Id="rId55" Type="http://schemas.openxmlformats.org/officeDocument/2006/relationships/image" Target="media/image280.jpeg"/><Relationship Id="rId63" Type="http://schemas.openxmlformats.org/officeDocument/2006/relationships/image" Target="media/image31.jpeg"/><Relationship Id="rId68" Type="http://schemas.openxmlformats.org/officeDocument/2006/relationships/image" Target="media/image34.png"/><Relationship Id="rId76" Type="http://schemas.openxmlformats.org/officeDocument/2006/relationships/image" Target="media/image38.jpeg"/><Relationship Id="rId84" Type="http://schemas.openxmlformats.org/officeDocument/2006/relationships/hyperlink" Target="http://www.unradm.ru/" TargetMode="External"/><Relationship Id="rId7" Type="http://schemas.openxmlformats.org/officeDocument/2006/relationships/webSettings" Target="webSettings.xml"/><Relationship Id="rId71" Type="http://schemas.openxmlformats.org/officeDocument/2006/relationships/image" Target="media/image35.jpeg"/><Relationship Id="rId2" Type="http://schemas.openxmlformats.org/officeDocument/2006/relationships/customXml" Target="../customXml/item2.xml"/><Relationship Id="rId16" Type="http://schemas.openxmlformats.org/officeDocument/2006/relationships/image" Target="media/image4.gif"/><Relationship Id="rId29" Type="http://schemas.openxmlformats.org/officeDocument/2006/relationships/image" Target="media/image13.jpeg"/><Relationship Id="rId11" Type="http://schemas.openxmlformats.org/officeDocument/2006/relationships/image" Target="media/image1.png"/><Relationship Id="rId24" Type="http://schemas.openxmlformats.org/officeDocument/2006/relationships/hyperlink" Target="http://www.brasadmin.org/" TargetMode="External"/><Relationship Id="rId32" Type="http://schemas.openxmlformats.org/officeDocument/2006/relationships/image" Target="media/image16.jpeg"/><Relationship Id="rId37" Type="http://schemas.openxmlformats.org/officeDocument/2006/relationships/image" Target="media/image18.png"/><Relationship Id="rId40" Type="http://schemas.openxmlformats.org/officeDocument/2006/relationships/image" Target="media/image19.jpeg"/><Relationship Id="rId45" Type="http://schemas.openxmlformats.org/officeDocument/2006/relationships/hyperlink" Target="http://karadmin.ru/" TargetMode="External"/><Relationship Id="rId53" Type="http://schemas.openxmlformats.org/officeDocument/2006/relationships/hyperlink" Target="http://adminkom.ru/" TargetMode="External"/><Relationship Id="rId58" Type="http://schemas.openxmlformats.org/officeDocument/2006/relationships/image" Target="media/image290.jpeg"/><Relationship Id="rId66" Type="http://schemas.openxmlformats.org/officeDocument/2006/relationships/image" Target="media/image33.png"/><Relationship Id="rId74" Type="http://schemas.openxmlformats.org/officeDocument/2006/relationships/image" Target="media/image36.jpeg"/><Relationship Id="rId79" Type="http://schemas.openxmlformats.org/officeDocument/2006/relationships/image" Target="media/image39.png"/><Relationship Id="rId87" Type="http://schemas.openxmlformats.org/officeDocument/2006/relationships/theme" Target="theme/theme1.xml"/><Relationship Id="rId5" Type="http://schemas.microsoft.com/office/2007/relationships/stylesWithEffects" Target="stylesWithEffects.xml"/><Relationship Id="rId61" Type="http://schemas.openxmlformats.org/officeDocument/2006/relationships/image" Target="media/image31.png"/><Relationship Id="rId82" Type="http://schemas.openxmlformats.org/officeDocument/2006/relationships/image" Target="media/image40.jpeg"/><Relationship Id="rId19" Type="http://schemas.openxmlformats.org/officeDocument/2006/relationships/image" Target="media/image5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3.jpeg"/><Relationship Id="rId22" Type="http://schemas.openxmlformats.org/officeDocument/2006/relationships/image" Target="media/image7.jpeg"/><Relationship Id="rId27" Type="http://schemas.openxmlformats.org/officeDocument/2006/relationships/image" Target="media/image10.jpeg"/><Relationship Id="rId30" Type="http://schemas.openxmlformats.org/officeDocument/2006/relationships/image" Target="media/image15.jpeg"/><Relationship Id="rId35" Type="http://schemas.openxmlformats.org/officeDocument/2006/relationships/image" Target="media/image17.jpeg"/><Relationship Id="rId43" Type="http://schemas.openxmlformats.org/officeDocument/2006/relationships/image" Target="media/image21.jpeg"/><Relationship Id="rId48" Type="http://schemas.openxmlformats.org/officeDocument/2006/relationships/image" Target="media/image25.jpeg"/><Relationship Id="rId56" Type="http://schemas.openxmlformats.org/officeDocument/2006/relationships/hyperlink" Target="http://www.krgadm.ru/" TargetMode="External"/><Relationship Id="rId64" Type="http://schemas.openxmlformats.org/officeDocument/2006/relationships/hyperlink" Target="http://www.pogaradm.ru/" TargetMode="External"/><Relationship Id="rId69" Type="http://schemas.openxmlformats.org/officeDocument/2006/relationships/image" Target="media/image35.png"/><Relationship Id="rId77" Type="http://schemas.openxmlformats.org/officeDocument/2006/relationships/image" Target="media/image41.jpeg"/><Relationship Id="rId8" Type="http://schemas.openxmlformats.org/officeDocument/2006/relationships/footnotes" Target="footnotes.xml"/><Relationship Id="rId51" Type="http://schemas.openxmlformats.org/officeDocument/2006/relationships/hyperlink" Target="http://www.klinrai.ru/" TargetMode="External"/><Relationship Id="rId72" Type="http://schemas.openxmlformats.org/officeDocument/2006/relationships/image" Target="media/image37.jpeg"/><Relationship Id="rId80" Type="http://schemas.openxmlformats.org/officeDocument/2006/relationships/image" Target="media/image42.png"/><Relationship Id="rId85" Type="http://schemas.openxmlformats.org/officeDocument/2006/relationships/footer" Target="footer1.xml"/><Relationship Id="rId3" Type="http://schemas.openxmlformats.org/officeDocument/2006/relationships/numbering" Target="numbering.xml"/><Relationship Id="rId12" Type="http://schemas.openxmlformats.org/officeDocument/2006/relationships/image" Target="media/image2.jpeg"/><Relationship Id="rId17" Type="http://schemas.openxmlformats.org/officeDocument/2006/relationships/image" Target="media/image6.png"/><Relationship Id="rId25" Type="http://schemas.openxmlformats.org/officeDocument/2006/relationships/image" Target="media/image8.jpeg"/><Relationship Id="rId33" Type="http://schemas.openxmlformats.org/officeDocument/2006/relationships/image" Target="media/image160.jpeg"/><Relationship Id="rId38" Type="http://schemas.openxmlformats.org/officeDocument/2006/relationships/image" Target="media/image19.png"/><Relationship Id="rId46" Type="http://schemas.openxmlformats.org/officeDocument/2006/relationships/image" Target="media/image24.jpeg"/><Relationship Id="rId59" Type="http://schemas.openxmlformats.org/officeDocument/2006/relationships/hyperlink" Target="http://www.mgladm.ru/" TargetMode="External"/><Relationship Id="rId67" Type="http://schemas.openxmlformats.org/officeDocument/2006/relationships/hyperlink" Target="http://www.admpochep.ru/" TargetMode="External"/><Relationship Id="rId20" Type="http://schemas.openxmlformats.org/officeDocument/2006/relationships/image" Target="media/image6.jpeg"/><Relationship Id="rId41" Type="http://schemas.openxmlformats.org/officeDocument/2006/relationships/image" Target="media/image20.jpeg"/><Relationship Id="rId54" Type="http://schemas.openxmlformats.org/officeDocument/2006/relationships/image" Target="media/image28.jpeg"/><Relationship Id="rId62" Type="http://schemas.openxmlformats.org/officeDocument/2006/relationships/hyperlink" Target="http://admnav.ru/" TargetMode="External"/><Relationship Id="rId70" Type="http://schemas.openxmlformats.org/officeDocument/2006/relationships/hyperlink" Target="http://www.rognedino.ru/" TargetMode="External"/><Relationship Id="rId75" Type="http://schemas.openxmlformats.org/officeDocument/2006/relationships/image" Target="media/image39.jpeg"/><Relationship Id="rId83" Type="http://schemas.openxmlformats.org/officeDocument/2006/relationships/image" Target="media/image44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image" Target="media/image4.jpeg"/><Relationship Id="rId23" Type="http://schemas.openxmlformats.org/officeDocument/2006/relationships/image" Target="media/image11.jpeg"/><Relationship Id="rId28" Type="http://schemas.openxmlformats.org/officeDocument/2006/relationships/image" Target="media/image14.jpeg"/><Relationship Id="rId36" Type="http://schemas.openxmlformats.org/officeDocument/2006/relationships/hyperlink" Target="http://admindtk.ru/" TargetMode="External"/><Relationship Id="rId49" Type="http://schemas.openxmlformats.org/officeDocument/2006/relationships/image" Target="media/image250.jpeg"/><Relationship Id="rId57" Type="http://schemas.openxmlformats.org/officeDocument/2006/relationships/image" Target="media/image29.jpeg"/><Relationship Id="rId10" Type="http://schemas.openxmlformats.org/officeDocument/2006/relationships/hyperlink" Target="http://www.bryanskobl.ru/" TargetMode="External"/><Relationship Id="rId31" Type="http://schemas.openxmlformats.org/officeDocument/2006/relationships/hyperlink" Target="http://www.admgordeevka.ru/" TargetMode="External"/><Relationship Id="rId44" Type="http://schemas.openxmlformats.org/officeDocument/2006/relationships/image" Target="media/image23.jpeg"/><Relationship Id="rId52" Type="http://schemas.openxmlformats.org/officeDocument/2006/relationships/image" Target="media/image27.gif"/><Relationship Id="rId60" Type="http://schemas.openxmlformats.org/officeDocument/2006/relationships/image" Target="media/image30.png"/><Relationship Id="rId65" Type="http://schemas.openxmlformats.org/officeDocument/2006/relationships/image" Target="media/image32.png"/><Relationship Id="rId73" Type="http://schemas.openxmlformats.org/officeDocument/2006/relationships/hyperlink" Target="http://www.sevskadm.ru/" TargetMode="External"/><Relationship Id="rId78" Type="http://schemas.openxmlformats.org/officeDocument/2006/relationships/hyperlink" Target="http://www.admsur.ru/" TargetMode="External"/><Relationship Id="rId81" Type="http://schemas.openxmlformats.org/officeDocument/2006/relationships/hyperlink" Target="http://www.trubech.ru/" TargetMode="External"/><Relationship Id="rId86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Бумажная">
      <a:dk1>
        <a:sysClr val="windowText" lastClr="000000"/>
      </a:dk1>
      <a:lt1>
        <a:sysClr val="window" lastClr="FFFFFF"/>
      </a:lt1>
      <a:dk2>
        <a:srgbClr val="444D26"/>
      </a:dk2>
      <a:lt2>
        <a:srgbClr val="FEFAC9"/>
      </a:lt2>
      <a:accent1>
        <a:srgbClr val="A5B592"/>
      </a:accent1>
      <a:accent2>
        <a:srgbClr val="F3A447"/>
      </a:accent2>
      <a:accent3>
        <a:srgbClr val="E7BC29"/>
      </a:accent3>
      <a:accent4>
        <a:srgbClr val="D092A7"/>
      </a:accent4>
      <a:accent5>
        <a:srgbClr val="9C85C0"/>
      </a:accent5>
      <a:accent6>
        <a:srgbClr val="809EC2"/>
      </a:accent6>
      <a:hlink>
        <a:srgbClr val="8E58B6"/>
      </a:hlink>
      <a:folHlink>
        <a:srgbClr val="7F6F6F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.2018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5E365503-4011-4440-845D-AD83E02E22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11003</TotalTime>
  <Pages>1</Pages>
  <Words>17942</Words>
  <Characters>102271</Characters>
  <Application>Microsoft Office Word</Application>
  <DocSecurity>0</DocSecurity>
  <Lines>852</Lines>
  <Paragraphs>239</Paragraphs>
  <ScaleCrop>false</ScaleCrop>
  <Company>Департамент</Company>
  <LinksUpToDate>false</LinksUpToDate>
  <CharactersWithSpaces>119974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СВОДНЫЙ ДОКЛАД 
БРЯНСКОЙ ОБЛАСТИ 
О РЕЗУЛЬТАТАХ МОНИТОРИНГА ЭФФЕКТИВНОСТИ ДЕЯТЕЛЬНОСТИ ОРГАНОВ МЕСТНОГО САМОУПРАВЛЕНИЯ ГОРОДСКИХ ОКРУГОВ 
И МУНИЦИПАЛЬНЫХ РАЙОНОВ БРЯНСКОЙ ОБЛАСТИ 
ЗА 2019 ГОД</dc:title>
  <dc:subject/>
  <dc:creator>Popova-tk</dc:creator>
  <dc:description/>
  <cp:lastModifiedBy>admin</cp:lastModifiedBy>
  <cp:revision>731</cp:revision>
  <cp:lastPrinted>2024-10-01T11:08:00Z</cp:lastPrinted>
  <dcterms:created xsi:type="dcterms:W3CDTF">2020-09-01T07:34:00Z</dcterms:created>
  <dcterms:modified xsi:type="dcterms:W3CDTF">2024-10-01T11:08:00Z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false</vt:bool>
  </property>
  <property fmtid="{D5CDD505-2E9C-101B-9397-08002B2CF9AE}" pid="3" name="LinksUpToDate">
    <vt:bool>false</vt:bool>
  </property>
  <property fmtid="{D5CDD505-2E9C-101B-9397-08002B2CF9AE}" pid="4" name="ScaleCrop">
    <vt:bool>false</vt:bool>
  </property>
  <property fmtid="{D5CDD505-2E9C-101B-9397-08002B2CF9AE}" pid="5" name="ShareDoc">
    <vt:bool>false</vt:bool>
  </property>
</Properties>
</file>